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Franklin Gothic Book" w:hAnsi="Franklin Gothic Book"/>
          <w:sz w:val="22"/>
        </w:rPr>
        <w:id w:val="2047950357"/>
        <w:docPartObj>
          <w:docPartGallery w:val="Cover Pages"/>
          <w:docPartUnique/>
        </w:docPartObj>
      </w:sdtPr>
      <w:sdtEndPr/>
      <w:sdtContent>
        <w:p w14:paraId="6E9B4A2C" w14:textId="77777777" w:rsidR="001F322C" w:rsidRDefault="001F322C" w:rsidP="000E0419">
          <w:pPr>
            <w:pStyle w:val="TableTextLeftMedium"/>
          </w:pPr>
        </w:p>
        <w:p w14:paraId="56796C79" w14:textId="77777777" w:rsidR="009F5AAD" w:rsidRDefault="009F5AAD" w:rsidP="001F322C"/>
        <w:p w14:paraId="0B434CC8" w14:textId="77777777" w:rsidR="009F5AAD" w:rsidRDefault="009F5AAD" w:rsidP="001F322C"/>
        <w:p w14:paraId="2FE53A92" w14:textId="77777777" w:rsidR="009F5AAD" w:rsidRDefault="009F5AAD" w:rsidP="001F322C"/>
        <w:p w14:paraId="0804C96F" w14:textId="77777777" w:rsidR="009F5AAD" w:rsidRDefault="009F5AAD" w:rsidP="001F322C"/>
        <w:p w14:paraId="3AB06B5C" w14:textId="77777777" w:rsidR="0040139D" w:rsidRPr="00332677" w:rsidRDefault="000D4AB9" w:rsidP="0040139D">
          <w:pPr>
            <w:rPr>
              <w:sz w:val="24"/>
              <w:szCs w:val="24"/>
            </w:rPr>
          </w:pPr>
          <w:r>
            <w:rPr>
              <w:noProof/>
            </w:rPr>
            <w:drawing>
              <wp:anchor distT="0" distB="0" distL="114300" distR="114300" simplePos="0" relativeHeight="251658240" behindDoc="1" locked="1" layoutInCell="1" allowOverlap="1" wp14:anchorId="16140093" wp14:editId="1866CC0B">
                <wp:simplePos x="0" y="0"/>
                <wp:positionH relativeFrom="margin">
                  <wp:align>center</wp:align>
                </wp:positionH>
                <wp:positionV relativeFrom="margin">
                  <wp:align>top</wp:align>
                </wp:positionV>
                <wp:extent cx="7753350" cy="1651000"/>
                <wp:effectExtent l="0" t="0" r="0" b="635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53350" cy="1651000"/>
                        </a:xfrm>
                        <a:prstGeom prst="rect">
                          <a:avLst/>
                        </a:prstGeom>
                      </pic:spPr>
                    </pic:pic>
                  </a:graphicData>
                </a:graphic>
                <wp14:sizeRelH relativeFrom="margin">
                  <wp14:pctWidth>0</wp14:pctWidth>
                </wp14:sizeRelH>
                <wp14:sizeRelV relativeFrom="margin">
                  <wp14:pctHeight>0</wp14:pctHeight>
                </wp14:sizeRelV>
              </wp:anchor>
            </w:drawing>
          </w:r>
        </w:p>
      </w:sdtContent>
    </w:sdt>
    <w:p w14:paraId="1D137F91" w14:textId="77777777" w:rsidR="0040139D" w:rsidRPr="00E02F5E" w:rsidRDefault="000D4AB9" w:rsidP="00E02F5E">
      <w:pPr>
        <w:pStyle w:val="Title"/>
        <w:rPr>
          <w:szCs w:val="60"/>
        </w:rPr>
      </w:pPr>
      <w:r w:rsidRPr="00E02F5E">
        <w:rPr>
          <w:szCs w:val="60"/>
        </w:rPr>
        <w:t>Memorandum</w:t>
      </w:r>
    </w:p>
    <w:p w14:paraId="0F334511" w14:textId="77777777" w:rsidR="00724033" w:rsidRDefault="00724033" w:rsidP="00724033">
      <w:pPr>
        <w:spacing w:before="120" w:after="100"/>
        <w:rPr>
          <w:lang w:val="en-ZA"/>
        </w:rPr>
      </w:pPr>
      <w:r w:rsidRPr="006463FA">
        <w:rPr>
          <w:rStyle w:val="IntenseEmphasis"/>
        </w:rPr>
        <w:t>To:</w:t>
      </w:r>
      <w:r w:rsidRPr="00900F0B">
        <w:rPr>
          <w:lang w:val="en-ZA"/>
        </w:rPr>
        <w:tab/>
      </w:r>
      <w:r>
        <w:rPr>
          <w:lang w:val="en-ZA"/>
        </w:rPr>
        <w:t>Deirdre Morris and Tom Knauer, Vermont Public Utility Commission</w:t>
      </w:r>
    </w:p>
    <w:p w14:paraId="3CED4E41" w14:textId="77777777" w:rsidR="00724033" w:rsidRPr="00900F0B" w:rsidRDefault="00724033" w:rsidP="00724033">
      <w:pPr>
        <w:spacing w:before="120" w:after="100"/>
        <w:rPr>
          <w:lang w:val="en-ZA"/>
        </w:rPr>
      </w:pPr>
      <w:r w:rsidRPr="003C2E2D">
        <w:rPr>
          <w:rStyle w:val="IntenseEmphasis"/>
        </w:rPr>
        <w:t>CC:</w:t>
      </w:r>
      <w:r>
        <w:rPr>
          <w:lang w:val="en-ZA"/>
        </w:rPr>
        <w:tab/>
        <w:t>Vermont Clean Heat Standard Technical Advisory Group (TAG)</w:t>
      </w:r>
    </w:p>
    <w:p w14:paraId="76DFEC7A" w14:textId="77777777" w:rsidR="00724033" w:rsidRPr="00900F0B" w:rsidRDefault="00724033" w:rsidP="00724033">
      <w:pPr>
        <w:spacing w:after="100"/>
        <w:rPr>
          <w:lang w:val="en-ZA"/>
        </w:rPr>
      </w:pPr>
      <w:r w:rsidRPr="006463FA">
        <w:rPr>
          <w:rStyle w:val="IntenseEmphasis"/>
        </w:rPr>
        <w:t>From:</w:t>
      </w:r>
      <w:r w:rsidRPr="00900F0B">
        <w:rPr>
          <w:lang w:val="en-ZA"/>
        </w:rPr>
        <w:tab/>
      </w:r>
      <w:r>
        <w:rPr>
          <w:lang w:val="en-ZA"/>
        </w:rPr>
        <w:t>Kevin Ketchman, Joe Plummer, and Zach Ross, Opinion Dynamics</w:t>
      </w:r>
    </w:p>
    <w:p w14:paraId="2FD0D79C" w14:textId="370A0B7A" w:rsidR="0040139D" w:rsidRPr="00900F0B" w:rsidRDefault="000D4AB9" w:rsidP="0040139D">
      <w:pPr>
        <w:spacing w:after="100"/>
        <w:rPr>
          <w:lang w:val="en-ZA"/>
        </w:rPr>
      </w:pPr>
      <w:r w:rsidRPr="006463FA">
        <w:rPr>
          <w:rStyle w:val="IntenseEmphasis"/>
        </w:rPr>
        <w:t>Date:</w:t>
      </w:r>
      <w:r w:rsidRPr="00900F0B">
        <w:rPr>
          <w:lang w:val="en-ZA"/>
        </w:rPr>
        <w:tab/>
      </w:r>
      <w:r w:rsidR="00724033">
        <w:rPr>
          <w:lang w:val="en-ZA"/>
        </w:rPr>
        <w:t xml:space="preserve">October </w:t>
      </w:r>
      <w:r w:rsidR="00A3536F">
        <w:rPr>
          <w:lang w:val="en-ZA"/>
        </w:rPr>
        <w:t>9</w:t>
      </w:r>
      <w:r w:rsidR="00724033">
        <w:rPr>
          <w:lang w:val="en-ZA"/>
        </w:rPr>
        <w:t>, 2024</w:t>
      </w:r>
    </w:p>
    <w:p w14:paraId="79EC531C" w14:textId="0AEE0205" w:rsidR="0040139D" w:rsidRPr="00900F0B" w:rsidRDefault="000D4AB9" w:rsidP="0040139D">
      <w:pPr>
        <w:spacing w:after="100"/>
        <w:rPr>
          <w:lang w:val="en-ZA"/>
        </w:rPr>
      </w:pPr>
      <w:r w:rsidRPr="006463FA">
        <w:rPr>
          <w:rStyle w:val="IntenseEmphasis"/>
        </w:rPr>
        <w:t>Re:</w:t>
      </w:r>
      <w:r w:rsidRPr="00900F0B">
        <w:rPr>
          <w:lang w:val="en-ZA"/>
        </w:rPr>
        <w:tab/>
      </w:r>
      <w:r w:rsidR="00724033">
        <w:rPr>
          <w:lang w:val="en-ZA"/>
        </w:rPr>
        <w:t>Approach to Lifecycle Analysis for Wood Products</w:t>
      </w:r>
    </w:p>
    <w:p w14:paraId="7A3D5866" w14:textId="77777777" w:rsidR="0040139D" w:rsidRDefault="0040139D" w:rsidP="0040139D">
      <w:pPr>
        <w:sectPr w:rsidR="0040139D" w:rsidSect="005F02B5">
          <w:headerReference w:type="default" r:id="rId9"/>
          <w:footerReference w:type="default" r:id="rId10"/>
          <w:type w:val="continuous"/>
          <w:pgSz w:w="12240" w:h="15840" w:code="1"/>
          <w:pgMar w:top="39" w:right="567" w:bottom="567" w:left="567" w:header="142" w:footer="340" w:gutter="0"/>
          <w:cols w:space="708"/>
          <w:titlePg/>
          <w:docGrid w:linePitch="360"/>
        </w:sectPr>
      </w:pPr>
    </w:p>
    <w:p w14:paraId="1E752B61" w14:textId="77777777" w:rsidR="0040139D" w:rsidRDefault="000D4AB9" w:rsidP="0040139D">
      <w:r>
        <w:rPr>
          <w:noProof/>
        </w:rPr>
        <mc:AlternateContent>
          <mc:Choice Requires="wps">
            <w:drawing>
              <wp:anchor distT="0" distB="0" distL="114300" distR="114300" simplePos="0" relativeHeight="251659264" behindDoc="0" locked="0" layoutInCell="1" allowOverlap="1" wp14:anchorId="3AAE74CC" wp14:editId="51C395CB">
                <wp:simplePos x="0" y="0"/>
                <wp:positionH relativeFrom="column">
                  <wp:posOffset>10069</wp:posOffset>
                </wp:positionH>
                <wp:positionV relativeFrom="paragraph">
                  <wp:posOffset>125549</wp:posOffset>
                </wp:positionV>
                <wp:extent cx="7075715" cy="0"/>
                <wp:effectExtent l="0" t="0" r="0" b="0"/>
                <wp:wrapNone/>
                <wp:docPr id="2143302414" name="Straight Connector 1"/>
                <wp:cNvGraphicFramePr/>
                <a:graphic xmlns:a="http://schemas.openxmlformats.org/drawingml/2006/main">
                  <a:graphicData uri="http://schemas.microsoft.com/office/word/2010/wordprocessingShape">
                    <wps:wsp>
                      <wps:cNvCnPr/>
                      <wps:spPr>
                        <a:xfrm>
                          <a:off x="0" y="0"/>
                          <a:ext cx="707571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4F3D6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pt,9.9pt" to="557.9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" strokecolor="#172b54 [3204]" strokeweight=".5pt">
                <v:stroke joinstyle="miter"/>
              </v:line>
            </w:pict>
          </mc:Fallback>
        </mc:AlternateContent>
      </w:r>
    </w:p>
    <w:p w14:paraId="61021078" w14:textId="4D254680" w:rsidR="00C17C51" w:rsidRDefault="00724033" w:rsidP="00C17C51">
      <w:r>
        <w:t xml:space="preserve">On August 29, 2024, Opinion Dynamics shared </w:t>
      </w:r>
      <w:r w:rsidR="00C17C51">
        <w:t xml:space="preserve">a draft lifecycle emissions rate schedule </w:t>
      </w:r>
      <w:r>
        <w:t>with the Vermont Public Utility Commission (“the Commission”) and the Vermont Clean Heat Standard Technical Advisory Group (TAG)</w:t>
      </w:r>
      <w:r w:rsidR="00C17C51">
        <w:t xml:space="preserve">. Opinion Dynamics subsequently presented this schedule to the TAG on September 19. Prior to, during, and after this presentation, Opinion Dynamics has received a wide range of comments on the approach to lifecycle carbon intensity values for wood </w:t>
      </w:r>
      <w:r w:rsidR="00FF1877">
        <w:t>fuels (wood pellets, wood chips, commercial firewood, and non-commercial firewood)</w:t>
      </w:r>
      <w:r w:rsidR="00C17C51">
        <w:t xml:space="preserve"> included in the schedule. This memo</w:t>
      </w:r>
      <w:r w:rsidR="00FF1877">
        <w:t xml:space="preserve"> 1) summarizes our initial approach,</w:t>
      </w:r>
      <w:r w:rsidR="00C17C51">
        <w:t xml:space="preserve"> </w:t>
      </w:r>
      <w:r w:rsidR="00FF1877">
        <w:t>2</w:t>
      </w:r>
      <w:r w:rsidR="00C17C51">
        <w:t xml:space="preserve">) summarizes the comments received to date, </w:t>
      </w:r>
      <w:r w:rsidR="00FF1877">
        <w:t>3</w:t>
      </w:r>
      <w:r w:rsidR="00C17C51">
        <w:t xml:space="preserve">) provides a response to some of the specific comments shared on the analytic approach, and </w:t>
      </w:r>
      <w:r w:rsidR="00FF1877">
        <w:t>4</w:t>
      </w:r>
      <w:r w:rsidR="00C17C51">
        <w:t xml:space="preserve">) serves as an official request for TAG guidance on the approach to lifecycle analysis for wood </w:t>
      </w:r>
      <w:r w:rsidR="00FF1877">
        <w:t>fuels</w:t>
      </w:r>
      <w:r w:rsidR="00C17C51">
        <w:t xml:space="preserve"> </w:t>
      </w:r>
      <w:proofErr w:type="gramStart"/>
      <w:r w:rsidR="00C17C51">
        <w:t>in light of</w:t>
      </w:r>
      <w:proofErr w:type="gramEnd"/>
      <w:r w:rsidR="00C17C51">
        <w:t xml:space="preserve"> the comments received to date.</w:t>
      </w:r>
    </w:p>
    <w:p w14:paraId="799E36EB" w14:textId="62DC45B3" w:rsidR="00C17C51" w:rsidRDefault="00C17C51" w:rsidP="00C17C51">
      <w:pPr>
        <w:pStyle w:val="Heading4"/>
      </w:pPr>
      <w:r>
        <w:t>Summary of Approach</w:t>
      </w:r>
    </w:p>
    <w:p w14:paraId="283290B0" w14:textId="431E0904" w:rsidR="00FF1877" w:rsidRDefault="00FF1877" w:rsidP="00FF1877">
      <w:r>
        <w:t>As detailed in our August 29 memo, Opinion Dynamics developed upstream emissions for wood fuels using two sources. For wood chips, wood pellets, and commercial firewood, we used GREET1 2023rev1, following a similar analytical framework as used in the V</w:t>
      </w:r>
      <w:r w:rsidRPr="0025719A">
        <w:t>ermont Energy Sector Life Cycle Assessment report</w:t>
      </w:r>
      <w:r>
        <w:t>.</w:t>
      </w:r>
      <w:r>
        <w:rPr>
          <w:rStyle w:val="FootnoteReference"/>
        </w:rPr>
        <w:footnoteReference w:id="1"/>
      </w:r>
      <w:r>
        <w:t xml:space="preserve"> For non-commercial firewood, </w:t>
      </w:r>
      <w:r w:rsidRPr="00504E40">
        <w:t>we use</w:t>
      </w:r>
      <w:r>
        <w:t>d results pr</w:t>
      </w:r>
      <w:r w:rsidRPr="00504E40">
        <w:t xml:space="preserve">esented in the </w:t>
      </w:r>
      <w:r w:rsidRPr="004F2B41">
        <w:t xml:space="preserve">Vermont Energy Sector Life Cycle Assessment </w:t>
      </w:r>
      <w:r>
        <w:t>report</w:t>
      </w:r>
      <w:r>
        <w:rPr>
          <w:rStyle w:val="FootnoteReference"/>
        </w:rPr>
        <w:footnoteReference w:id="2"/>
      </w:r>
      <w:r w:rsidRPr="00504E40">
        <w:t xml:space="preserve"> as they are Vermont-specific</w:t>
      </w:r>
      <w:r>
        <w:t xml:space="preserve">. We estimated combustion emissions using combustion emissions rates for </w:t>
      </w:r>
      <w:r w:rsidRPr="00D30AE8">
        <w:t>CO</w:t>
      </w:r>
      <w:r w:rsidRPr="00D30AE8">
        <w:rPr>
          <w:vertAlign w:val="subscript"/>
        </w:rPr>
        <w:t>2</w:t>
      </w:r>
      <w:r w:rsidRPr="00D30AE8">
        <w:t>, CH</w:t>
      </w:r>
      <w:r w:rsidRPr="00D30AE8">
        <w:rPr>
          <w:vertAlign w:val="subscript"/>
        </w:rPr>
        <w:t>4</w:t>
      </w:r>
      <w:r w:rsidRPr="00D30AE8">
        <w:t>, and N</w:t>
      </w:r>
      <w:r w:rsidRPr="00D30AE8">
        <w:rPr>
          <w:vertAlign w:val="subscript"/>
        </w:rPr>
        <w:t>2</w:t>
      </w:r>
      <w:r w:rsidRPr="00D30AE8">
        <w:t>O from</w:t>
      </w:r>
      <w:r>
        <w:t xml:space="preserve"> the</w:t>
      </w:r>
      <w:r w:rsidRPr="00D30AE8">
        <w:t xml:space="preserve"> U.S. EPA Emission Factors Hub</w:t>
      </w:r>
      <w:r>
        <w:t>.</w:t>
      </w:r>
      <w:r>
        <w:rPr>
          <w:rStyle w:val="FootnoteReference"/>
        </w:rPr>
        <w:footnoteReference w:id="3"/>
      </w:r>
      <w:r>
        <w:t xml:space="preserve"> Two specific areas of our analysis, the treatment of biogenic carbon for wood fuels and the treatment of land use changes for wood fuels, are worthy of additional comments:</w:t>
      </w:r>
    </w:p>
    <w:p w14:paraId="068F36BC" w14:textId="5C7E7D1D" w:rsidR="00084B70" w:rsidRDefault="00FF1877" w:rsidP="00084B70">
      <w:pPr>
        <w:pStyle w:val="ListBullet"/>
      </w:pPr>
      <w:r>
        <w:t>For wood fuels, we consider</w:t>
      </w:r>
      <w:r w:rsidR="00607105">
        <w:t>ed</w:t>
      </w:r>
      <w:r>
        <w:t xml:space="preserve"> CO</w:t>
      </w:r>
      <w:r>
        <w:rPr>
          <w:vertAlign w:val="subscript"/>
        </w:rPr>
        <w:t>2</w:t>
      </w:r>
      <w:r>
        <w:t xml:space="preserve"> released in combustion to be part of a longer biogenic carbon cycle than biofuels, in which it takes significant time for the regrowth of new trees to fully sequester the biogenic carbon emitted during combustion.</w:t>
      </w:r>
      <w:r w:rsidRPr="00FE27DD">
        <w:t xml:space="preserve"> </w:t>
      </w:r>
      <w:r>
        <w:t>In line with an alternative approach presented in the Vermont Greenhouse Gas Emissions Inventory and Forecast,</w:t>
      </w:r>
      <w:r>
        <w:rPr>
          <w:rStyle w:val="FootnoteReference"/>
        </w:rPr>
        <w:footnoteReference w:id="4"/>
      </w:r>
      <w:r>
        <w:t xml:space="preserve"> we appl</w:t>
      </w:r>
      <w:r w:rsidR="00607105">
        <w:t>ied</w:t>
      </w:r>
      <w:r>
        <w:t xml:space="preserve"> a </w:t>
      </w:r>
      <w:proofErr w:type="spellStart"/>
      <w:r>
        <w:t>GWP</w:t>
      </w:r>
      <w:r>
        <w:rPr>
          <w:vertAlign w:val="subscript"/>
        </w:rPr>
        <w:t>bio</w:t>
      </w:r>
      <w:proofErr w:type="spellEnd"/>
      <w:r>
        <w:t xml:space="preserve"> factor</w:t>
      </w:r>
      <w:r w:rsidR="00607105">
        <w:rPr>
          <w:rStyle w:val="FootnoteReference"/>
        </w:rPr>
        <w:footnoteReference w:id="5"/>
      </w:r>
      <w:r>
        <w:t xml:space="preserve"> to CO</w:t>
      </w:r>
      <w:r w:rsidRPr="009A23D2">
        <w:rPr>
          <w:vertAlign w:val="subscript"/>
        </w:rPr>
        <w:t>2</w:t>
      </w:r>
      <w:r>
        <w:t xml:space="preserve"> combustion emissions from wood fuels to </w:t>
      </w:r>
      <w:r>
        <w:lastRenderedPageBreak/>
        <w:t>account for the regrowth period of the fuel. We appl</w:t>
      </w:r>
      <w:r w:rsidR="00607105">
        <w:t>ied</w:t>
      </w:r>
      <w:r>
        <w:t xml:space="preserve"> a </w:t>
      </w:r>
      <w:proofErr w:type="spellStart"/>
      <w:r>
        <w:t>GWP</w:t>
      </w:r>
      <w:r>
        <w:rPr>
          <w:vertAlign w:val="subscript"/>
        </w:rPr>
        <w:t>bio</w:t>
      </w:r>
      <w:proofErr w:type="spellEnd"/>
      <w:r>
        <w:t xml:space="preserve"> factor of 0.32 in our analysis. The </w:t>
      </w:r>
      <w:proofErr w:type="spellStart"/>
      <w:r>
        <w:t>GWP</w:t>
      </w:r>
      <w:r>
        <w:rPr>
          <w:vertAlign w:val="subscript"/>
        </w:rPr>
        <w:t>bio</w:t>
      </w:r>
      <w:proofErr w:type="spellEnd"/>
      <w:r>
        <w:t xml:space="preserve"> factor was developed independently by Opinion Dynamics using a publicly available World Wildlife Fund biogenic carbon footprint calculator, which is the same tool referenced in the alternative approach presented in the </w:t>
      </w:r>
      <w:r w:rsidRPr="00FF1877">
        <w:t>Vermont Greenhouse Gas Emissions Inventory and Forecast</w:t>
      </w:r>
      <w:r>
        <w:t>.</w:t>
      </w:r>
      <w:r>
        <w:rPr>
          <w:rStyle w:val="FootnoteReference"/>
        </w:rPr>
        <w:footnoteReference w:id="6"/>
      </w:r>
      <w:r>
        <w:t xml:space="preserve"> </w:t>
      </w:r>
      <w:r w:rsidR="00084B70" w:rsidRPr="00084B70">
        <w:t>We did not apply a factor in accounting for CH4 and N2O released by combustion of wood fuels in the reported emissions rates.</w:t>
      </w:r>
    </w:p>
    <w:p w14:paraId="13C74C57" w14:textId="141CF1F7" w:rsidR="00FF1877" w:rsidRDefault="00FF1877" w:rsidP="00FF1877">
      <w:pPr>
        <w:pStyle w:val="ListBullet"/>
      </w:pPr>
      <w:r>
        <w:t xml:space="preserve">For wood fuels, our emissions analysis assumes that there is no change in land use associated with the wood fuel that needs to be quantified in our emissions rates. As described in the </w:t>
      </w:r>
      <w:r w:rsidRPr="004F2B41">
        <w:t xml:space="preserve">Vermont Energy Sector Life Cycle Assessment </w:t>
      </w:r>
      <w:r>
        <w:t>report,</w:t>
      </w:r>
      <w:r>
        <w:rPr>
          <w:rStyle w:val="FootnoteReference"/>
        </w:rPr>
        <w:footnoteReference w:id="7"/>
      </w:r>
      <w:r>
        <w:t xml:space="preserve"> GREET1 2023rev1 </w:t>
      </w:r>
      <w:proofErr w:type="gramStart"/>
      <w:r>
        <w:t>models</w:t>
      </w:r>
      <w:proofErr w:type="gramEnd"/>
      <w:r>
        <w:t xml:space="preserve"> energy and emissions associated with short rotation woody crops with the embedded assumption that these crops are grown for the dedicated use in the energy sector. This assumption is not consistent with typical forestry management strategies in Vermont. Nevertheless, a pathway for accounting for land use changes in Vermont is not evident to us. In addition, the decision to not account for land use change is consistent with the handling of land use change for other biofuels we examined in our analysis. </w:t>
      </w:r>
    </w:p>
    <w:p w14:paraId="286CF6A0" w14:textId="0DA81D30" w:rsidR="00FF1877" w:rsidRDefault="00FF1877" w:rsidP="00FF1877">
      <w:r>
        <w:fldChar w:fldCharType="begin"/>
      </w:r>
      <w:r>
        <w:instrText xml:space="preserve"> REF _Ref179193100 \h </w:instrText>
      </w:r>
      <w:r>
        <w:fldChar w:fldCharType="separate"/>
      </w:r>
      <w:r w:rsidR="00A3536F">
        <w:t xml:space="preserve">Table </w:t>
      </w:r>
      <w:r w:rsidR="00A3536F">
        <w:rPr>
          <w:noProof/>
        </w:rPr>
        <w:t>1</w:t>
      </w:r>
      <w:r>
        <w:fldChar w:fldCharType="end"/>
      </w:r>
      <w:r>
        <w:t xml:space="preserve"> below presents the originally drafted 2025 lifecycle carbon intensity values for wood fuels, separated by combustion and lifecycle phases. Note that the </w:t>
      </w:r>
      <w:r w:rsidR="001C513E">
        <w:t xml:space="preserve">upstream </w:t>
      </w:r>
      <w:r>
        <w:t>carbon intensity values provided were in schedule form and change a small amount on a year-to-year basi</w:t>
      </w:r>
      <w:r w:rsidR="001C513E">
        <w:t xml:space="preserve">s; </w:t>
      </w:r>
      <w:r w:rsidR="00A3536F">
        <w:t>these</w:t>
      </w:r>
      <w:r w:rsidR="001C513E">
        <w:t xml:space="preserve"> values represent 2025 only.</w:t>
      </w:r>
    </w:p>
    <w:p w14:paraId="4F70CCE5" w14:textId="28DAF6BF" w:rsidR="00FF1877" w:rsidRDefault="00FF1877" w:rsidP="00883175">
      <w:pPr>
        <w:pStyle w:val="Caption"/>
      </w:pPr>
      <w:bookmarkStart w:id="0" w:name="_Ref179193100"/>
      <w:r>
        <w:t xml:space="preserve">Table </w:t>
      </w:r>
      <w:r>
        <w:fldChar w:fldCharType="begin"/>
      </w:r>
      <w:r>
        <w:instrText xml:space="preserve"> SEQ Table \* ARABIC </w:instrText>
      </w:r>
      <w:r>
        <w:fldChar w:fldCharType="separate"/>
      </w:r>
      <w:r w:rsidR="00A3536F">
        <w:rPr>
          <w:noProof/>
        </w:rPr>
        <w:t>1</w:t>
      </w:r>
      <w:r>
        <w:rPr>
          <w:noProof/>
        </w:rPr>
        <w:fldChar w:fldCharType="end"/>
      </w:r>
      <w:bookmarkEnd w:id="0"/>
      <w:r>
        <w:t>. 2025 Lifecycle Carbon Intensity Values for Wood Fuels</w:t>
      </w:r>
      <w:r w:rsidR="00A3536F">
        <w:t xml:space="preserve"> (Initial Draft)</w:t>
      </w:r>
    </w:p>
    <w:tbl>
      <w:tblPr>
        <w:tblStyle w:val="ODCBasic-1"/>
        <w:tblW w:w="0" w:type="auto"/>
        <w:tblCellMar>
          <w:top w:w="0" w:type="dxa"/>
        </w:tblCellMar>
        <w:tblLook w:val="04A0" w:firstRow="1" w:lastRow="0" w:firstColumn="1" w:lastColumn="0" w:noHBand="0" w:noVBand="1"/>
      </w:tblPr>
      <w:tblGrid>
        <w:gridCol w:w="3900"/>
        <w:gridCol w:w="1334"/>
        <w:gridCol w:w="1114"/>
        <w:gridCol w:w="645"/>
      </w:tblGrid>
      <w:tr w:rsidR="00A3536F" w14:paraId="3096D44B" w14:textId="64282A71" w:rsidTr="00A3536F">
        <w:trPr>
          <w:cnfStyle w:val="100000000000" w:firstRow="1" w:lastRow="0" w:firstColumn="0" w:lastColumn="0" w:oddVBand="0" w:evenVBand="0" w:oddHBand="0" w:evenHBand="0" w:firstRowFirstColumn="0" w:firstRowLastColumn="0" w:lastRowFirstColumn="0" w:lastRowLastColumn="0"/>
          <w:trHeight w:val="386"/>
          <w:tblHeader/>
        </w:trPr>
        <w:tc>
          <w:tcPr>
            <w:cnfStyle w:val="001000000000" w:firstRow="0" w:lastRow="0" w:firstColumn="1" w:lastColumn="0" w:oddVBand="0" w:evenVBand="0" w:oddHBand="0" w:evenHBand="0" w:firstRowFirstColumn="0" w:firstRowLastColumn="0" w:lastRowFirstColumn="0" w:lastRowLastColumn="0"/>
            <w:tcW w:w="3900" w:type="dxa"/>
            <w:vMerge w:val="restart"/>
            <w:tcBorders>
              <w:bottom w:val="single" w:sz="4" w:space="0" w:color="4A4D56" w:themeColor="text1"/>
              <w:right w:val="single" w:sz="4" w:space="0" w:color="4A4D56" w:themeColor="text1"/>
            </w:tcBorders>
          </w:tcPr>
          <w:p w14:paraId="357154BE" w14:textId="2AA5E877" w:rsidR="00A3536F" w:rsidRPr="00625570" w:rsidRDefault="00A3536F" w:rsidP="00276E8D">
            <w:pPr>
              <w:pStyle w:val="TableHeadingLeft"/>
            </w:pPr>
            <w:r>
              <w:t>Wood Fuel</w:t>
            </w:r>
          </w:p>
        </w:tc>
        <w:tc>
          <w:tcPr>
            <w:tcW w:w="0" w:type="auto"/>
            <w:gridSpan w:val="3"/>
            <w:tcBorders>
              <w:left w:val="single" w:sz="4" w:space="0" w:color="4A4D56" w:themeColor="text1"/>
              <w:bottom w:val="single" w:sz="4" w:space="0" w:color="4A4D56" w:themeColor="text1"/>
              <w:right w:val="single" w:sz="4" w:space="0" w:color="4A4D56" w:themeColor="text1"/>
            </w:tcBorders>
          </w:tcPr>
          <w:p w14:paraId="280733DD" w14:textId="0889EED0" w:rsidR="00A3536F" w:rsidRPr="00625570" w:rsidRDefault="00A3536F" w:rsidP="00276E8D">
            <w:pPr>
              <w:pStyle w:val="TableHeadingCentered"/>
              <w:cnfStyle w:val="100000000000" w:firstRow="1" w:lastRow="0" w:firstColumn="0" w:lastColumn="0" w:oddVBand="0" w:evenVBand="0" w:oddHBand="0" w:evenHBand="0" w:firstRowFirstColumn="0" w:firstRowLastColumn="0" w:lastRowFirstColumn="0" w:lastRowLastColumn="0"/>
            </w:pPr>
            <w:r>
              <w:t>Carbon Intensity Value (gCO</w:t>
            </w:r>
            <w:r w:rsidRPr="00FF1877">
              <w:rPr>
                <w:vertAlign w:val="subscript"/>
              </w:rPr>
              <w:t>2</w:t>
            </w:r>
            <w:r>
              <w:t>e/MJ)</w:t>
            </w:r>
          </w:p>
        </w:tc>
      </w:tr>
      <w:tr w:rsidR="00A3536F" w14:paraId="40A582E5" w14:textId="05912C96" w:rsidTr="00A3536F">
        <w:trPr>
          <w:cnfStyle w:val="100000000000" w:firstRow="1" w:lastRow="0" w:firstColumn="0" w:lastColumn="0" w:oddVBand="0" w:evenVBand="0" w:oddHBand="0" w:evenHBand="0" w:firstRowFirstColumn="0" w:firstRowLastColumn="0" w:lastRowFirstColumn="0" w:lastRowLastColumn="0"/>
          <w:cantSplit/>
          <w:trHeight w:val="340"/>
          <w:tblHeader/>
        </w:trPr>
        <w:tc>
          <w:tcPr>
            <w:cnfStyle w:val="001000000000" w:firstRow="0" w:lastRow="0" w:firstColumn="1" w:lastColumn="0" w:oddVBand="0" w:evenVBand="0" w:oddHBand="0" w:evenHBand="0" w:firstRowFirstColumn="0" w:firstRowLastColumn="0" w:lastRowFirstColumn="0" w:lastRowLastColumn="0"/>
            <w:tcW w:w="3900" w:type="dxa"/>
            <w:vMerge/>
            <w:tcBorders>
              <w:top w:val="single" w:sz="4" w:space="0" w:color="4A4D56" w:themeColor="text1"/>
              <w:right w:val="single" w:sz="4" w:space="0" w:color="4A4D56" w:themeColor="text1"/>
            </w:tcBorders>
          </w:tcPr>
          <w:p w14:paraId="255B15FE" w14:textId="77777777" w:rsidR="00A3536F" w:rsidRPr="00625570" w:rsidRDefault="00A3536F" w:rsidP="006D625A">
            <w:pPr>
              <w:pStyle w:val="ODTable"/>
              <w:suppressAutoHyphens/>
              <w:ind w:left="72"/>
              <w:rPr>
                <w:sz w:val="18"/>
                <w:szCs w:val="18"/>
              </w:rPr>
            </w:pPr>
          </w:p>
        </w:tc>
        <w:tc>
          <w:tcPr>
            <w:tcW w:w="0" w:type="auto"/>
            <w:tcBorders>
              <w:top w:val="single" w:sz="4" w:space="0" w:color="4A4D56" w:themeColor="text1"/>
              <w:left w:val="single" w:sz="4" w:space="0" w:color="4A4D56" w:themeColor="text1"/>
              <w:right w:val="single" w:sz="4" w:space="0" w:color="4A4D56" w:themeColor="text1"/>
            </w:tcBorders>
          </w:tcPr>
          <w:p w14:paraId="32677576" w14:textId="2AA4D874" w:rsidR="00A3536F" w:rsidRPr="00625570" w:rsidRDefault="00A3536F" w:rsidP="00276E8D">
            <w:pPr>
              <w:pStyle w:val="TableHeadingCentered"/>
              <w:cnfStyle w:val="100000000000" w:firstRow="1" w:lastRow="0" w:firstColumn="0" w:lastColumn="0" w:oddVBand="0" w:evenVBand="0" w:oddHBand="0" w:evenHBand="0" w:firstRowFirstColumn="0" w:firstRowLastColumn="0" w:lastRowFirstColumn="0" w:lastRowLastColumn="0"/>
              <w:rPr>
                <w:rFonts w:cs="Calibri"/>
              </w:rPr>
            </w:pPr>
            <w:r>
              <w:t>Combustion</w:t>
            </w:r>
          </w:p>
        </w:tc>
        <w:tc>
          <w:tcPr>
            <w:tcW w:w="0" w:type="auto"/>
            <w:tcBorders>
              <w:top w:val="single" w:sz="4" w:space="0" w:color="4A4D56" w:themeColor="text1"/>
              <w:left w:val="single" w:sz="4" w:space="0" w:color="4A4D56" w:themeColor="text1"/>
              <w:right w:val="single" w:sz="4" w:space="0" w:color="4A4D56" w:themeColor="text1"/>
            </w:tcBorders>
          </w:tcPr>
          <w:p w14:paraId="4611EE95" w14:textId="2690C8CB" w:rsidR="00A3536F" w:rsidRPr="00625570" w:rsidRDefault="00A3536F" w:rsidP="00276E8D">
            <w:pPr>
              <w:pStyle w:val="TableHeadingCentered"/>
              <w:cnfStyle w:val="100000000000" w:firstRow="1" w:lastRow="0" w:firstColumn="0" w:lastColumn="0" w:oddVBand="0" w:evenVBand="0" w:oddHBand="0" w:evenHBand="0" w:firstRowFirstColumn="0" w:firstRowLastColumn="0" w:lastRowFirstColumn="0" w:lastRowLastColumn="0"/>
            </w:pPr>
            <w:r>
              <w:t>Upstream</w:t>
            </w:r>
          </w:p>
        </w:tc>
        <w:tc>
          <w:tcPr>
            <w:tcW w:w="0" w:type="auto"/>
            <w:tcBorders>
              <w:top w:val="single" w:sz="4" w:space="0" w:color="4A4D56" w:themeColor="text1"/>
              <w:left w:val="single" w:sz="4" w:space="0" w:color="4A4D56" w:themeColor="text1"/>
              <w:right w:val="single" w:sz="4" w:space="0" w:color="4A4D56" w:themeColor="text1"/>
            </w:tcBorders>
          </w:tcPr>
          <w:p w14:paraId="38FAA53E" w14:textId="6D40AD09" w:rsidR="00A3536F" w:rsidRPr="00625570" w:rsidRDefault="00A3536F" w:rsidP="00276E8D">
            <w:pPr>
              <w:pStyle w:val="TableHeadingCentered"/>
              <w:cnfStyle w:val="100000000000" w:firstRow="1" w:lastRow="0" w:firstColumn="0" w:lastColumn="0" w:oddVBand="0" w:evenVBand="0" w:oddHBand="0" w:evenHBand="0" w:firstRowFirstColumn="0" w:firstRowLastColumn="0" w:lastRowFirstColumn="0" w:lastRowLastColumn="0"/>
            </w:pPr>
            <w:r>
              <w:t>Total</w:t>
            </w:r>
          </w:p>
        </w:tc>
      </w:tr>
      <w:tr w:rsidR="00A3536F" w14:paraId="7CA04C13" w14:textId="0D618053" w:rsidTr="00A3536F">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3900" w:type="dxa"/>
          </w:tcPr>
          <w:p w14:paraId="289B5872" w14:textId="626A7CBA" w:rsidR="00A3536F" w:rsidRPr="001C50B5" w:rsidRDefault="00A3536F" w:rsidP="00FD102C">
            <w:pPr>
              <w:pStyle w:val="TableLeftText"/>
            </w:pPr>
            <w:r>
              <w:t>Wood chips</w:t>
            </w:r>
          </w:p>
        </w:tc>
        <w:tc>
          <w:tcPr>
            <w:tcW w:w="0" w:type="auto"/>
          </w:tcPr>
          <w:p w14:paraId="6A9CCB4D" w14:textId="5E806874" w:rsidR="00A3536F" w:rsidRPr="00FA3A09" w:rsidRDefault="00A3536F" w:rsidP="00FD102C">
            <w:pPr>
              <w:pStyle w:val="TableCenterText"/>
              <w:cnfStyle w:val="000000100000" w:firstRow="0" w:lastRow="0" w:firstColumn="0" w:lastColumn="0" w:oddVBand="0" w:evenVBand="0" w:oddHBand="1" w:evenHBand="0" w:firstRowFirstColumn="0" w:firstRowLastColumn="0" w:lastRowFirstColumn="0" w:lastRowLastColumn="0"/>
            </w:pPr>
            <w:r>
              <w:t>29.5</w:t>
            </w:r>
          </w:p>
        </w:tc>
        <w:tc>
          <w:tcPr>
            <w:tcW w:w="0" w:type="auto"/>
          </w:tcPr>
          <w:p w14:paraId="1C304A87" w14:textId="3D7140FA" w:rsidR="00A3536F" w:rsidRPr="00FA3A09" w:rsidRDefault="00A3536F" w:rsidP="00FD102C">
            <w:pPr>
              <w:pStyle w:val="TableCenterText"/>
              <w:cnfStyle w:val="000000100000" w:firstRow="0" w:lastRow="0" w:firstColumn="0" w:lastColumn="0" w:oddVBand="0" w:evenVBand="0" w:oddHBand="1" w:evenHBand="0" w:firstRowFirstColumn="0" w:firstRowLastColumn="0" w:lastRowFirstColumn="0" w:lastRowLastColumn="0"/>
            </w:pPr>
            <w:r>
              <w:t>1.9</w:t>
            </w:r>
          </w:p>
        </w:tc>
        <w:tc>
          <w:tcPr>
            <w:tcW w:w="0" w:type="auto"/>
          </w:tcPr>
          <w:p w14:paraId="03A7D2B2" w14:textId="35097E2F" w:rsidR="00A3536F" w:rsidRPr="00FA3A09" w:rsidRDefault="00A3536F" w:rsidP="00FD102C">
            <w:pPr>
              <w:pStyle w:val="TableCenterText"/>
              <w:cnfStyle w:val="000000100000" w:firstRow="0" w:lastRow="0" w:firstColumn="0" w:lastColumn="0" w:oddVBand="0" w:evenVBand="0" w:oddHBand="1" w:evenHBand="0" w:firstRowFirstColumn="0" w:firstRowLastColumn="0" w:lastRowFirstColumn="0" w:lastRowLastColumn="0"/>
            </w:pPr>
            <w:r>
              <w:t>31.5</w:t>
            </w:r>
          </w:p>
        </w:tc>
      </w:tr>
      <w:tr w:rsidR="00A3536F" w14:paraId="7A2F33F3" w14:textId="2CAB5BF8" w:rsidTr="00A3536F">
        <w:trPr>
          <w:cnfStyle w:val="000000010000" w:firstRow="0" w:lastRow="0" w:firstColumn="0" w:lastColumn="0" w:oddVBand="0" w:evenVBand="0" w:oddHBand="0" w:evenHBand="1"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3900" w:type="dxa"/>
          </w:tcPr>
          <w:p w14:paraId="2C9373FB" w14:textId="58606660" w:rsidR="00A3536F" w:rsidRPr="001C50B5" w:rsidRDefault="00A3536F" w:rsidP="00FD102C">
            <w:pPr>
              <w:pStyle w:val="TableLeftText"/>
            </w:pPr>
            <w:r>
              <w:t>Wood pellets</w:t>
            </w:r>
          </w:p>
        </w:tc>
        <w:tc>
          <w:tcPr>
            <w:tcW w:w="0" w:type="auto"/>
          </w:tcPr>
          <w:p w14:paraId="2FD5406C" w14:textId="7F34149C" w:rsidR="00A3536F" w:rsidRPr="00FA3A09" w:rsidRDefault="00A3536F" w:rsidP="00FD102C">
            <w:pPr>
              <w:pStyle w:val="TableCenterText"/>
              <w:cnfStyle w:val="000000010000" w:firstRow="0" w:lastRow="0" w:firstColumn="0" w:lastColumn="0" w:oddVBand="0" w:evenVBand="0" w:oddHBand="0" w:evenHBand="1" w:firstRowFirstColumn="0" w:firstRowLastColumn="0" w:lastRowFirstColumn="0" w:lastRowLastColumn="0"/>
            </w:pPr>
            <w:r>
              <w:t>29.5</w:t>
            </w:r>
          </w:p>
        </w:tc>
        <w:tc>
          <w:tcPr>
            <w:tcW w:w="0" w:type="auto"/>
          </w:tcPr>
          <w:p w14:paraId="231539B7" w14:textId="35B63DC2" w:rsidR="00A3536F" w:rsidRPr="00FA3A09" w:rsidRDefault="00A3536F" w:rsidP="00FD102C">
            <w:pPr>
              <w:pStyle w:val="TableCenterText"/>
              <w:cnfStyle w:val="000000010000" w:firstRow="0" w:lastRow="0" w:firstColumn="0" w:lastColumn="0" w:oddVBand="0" w:evenVBand="0" w:oddHBand="0" w:evenHBand="1" w:firstRowFirstColumn="0" w:firstRowLastColumn="0" w:lastRowFirstColumn="0" w:lastRowLastColumn="0"/>
            </w:pPr>
            <w:r>
              <w:t>25.9</w:t>
            </w:r>
          </w:p>
        </w:tc>
        <w:tc>
          <w:tcPr>
            <w:tcW w:w="0" w:type="auto"/>
          </w:tcPr>
          <w:p w14:paraId="0053EA17" w14:textId="1AE777F8" w:rsidR="00A3536F" w:rsidRPr="00FA3A09" w:rsidRDefault="00A3536F" w:rsidP="00FD102C">
            <w:pPr>
              <w:pStyle w:val="TableCenterText"/>
              <w:cnfStyle w:val="000000010000" w:firstRow="0" w:lastRow="0" w:firstColumn="0" w:lastColumn="0" w:oddVBand="0" w:evenVBand="0" w:oddHBand="0" w:evenHBand="1" w:firstRowFirstColumn="0" w:firstRowLastColumn="0" w:lastRowFirstColumn="0" w:lastRowLastColumn="0"/>
            </w:pPr>
            <w:r>
              <w:t>55.5</w:t>
            </w:r>
          </w:p>
        </w:tc>
      </w:tr>
      <w:tr w:rsidR="00A3536F" w14:paraId="6FFB0991" w14:textId="62B52A6D" w:rsidTr="00A3536F">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3900" w:type="dxa"/>
          </w:tcPr>
          <w:p w14:paraId="7FE8E2F1" w14:textId="3D91772E" w:rsidR="00A3536F" w:rsidRPr="001C50B5" w:rsidRDefault="00A3536F" w:rsidP="00FD102C">
            <w:pPr>
              <w:pStyle w:val="TableLeftText"/>
            </w:pPr>
            <w:r>
              <w:t>Firewood, commercial</w:t>
            </w:r>
          </w:p>
        </w:tc>
        <w:tc>
          <w:tcPr>
            <w:tcW w:w="0" w:type="auto"/>
          </w:tcPr>
          <w:p w14:paraId="24572686" w14:textId="0C07A926" w:rsidR="00A3536F" w:rsidRPr="00FA3A09" w:rsidRDefault="00A3536F" w:rsidP="00FD102C">
            <w:pPr>
              <w:pStyle w:val="TableCenterText"/>
              <w:cnfStyle w:val="000000100000" w:firstRow="0" w:lastRow="0" w:firstColumn="0" w:lastColumn="0" w:oddVBand="0" w:evenVBand="0" w:oddHBand="1" w:evenHBand="0" w:firstRowFirstColumn="0" w:firstRowLastColumn="0" w:lastRowFirstColumn="0" w:lastRowLastColumn="0"/>
            </w:pPr>
            <w:r>
              <w:t>29.5</w:t>
            </w:r>
          </w:p>
        </w:tc>
        <w:tc>
          <w:tcPr>
            <w:tcW w:w="0" w:type="auto"/>
          </w:tcPr>
          <w:p w14:paraId="3E6D969B" w14:textId="28106599" w:rsidR="00A3536F" w:rsidRPr="00FA3A09" w:rsidRDefault="00A3536F" w:rsidP="00FD102C">
            <w:pPr>
              <w:pStyle w:val="TableCenterText"/>
              <w:cnfStyle w:val="000000100000" w:firstRow="0" w:lastRow="0" w:firstColumn="0" w:lastColumn="0" w:oddVBand="0" w:evenVBand="0" w:oddHBand="1" w:evenHBand="0" w:firstRowFirstColumn="0" w:firstRowLastColumn="0" w:lastRowFirstColumn="0" w:lastRowLastColumn="0"/>
            </w:pPr>
            <w:r>
              <w:t>2.3</w:t>
            </w:r>
          </w:p>
        </w:tc>
        <w:tc>
          <w:tcPr>
            <w:tcW w:w="0" w:type="auto"/>
          </w:tcPr>
          <w:p w14:paraId="0D378D6E" w14:textId="4277E963" w:rsidR="00A3536F" w:rsidRPr="00FA3A09" w:rsidRDefault="00A3536F" w:rsidP="00FD102C">
            <w:pPr>
              <w:pStyle w:val="TableCenterText"/>
              <w:cnfStyle w:val="000000100000" w:firstRow="0" w:lastRow="0" w:firstColumn="0" w:lastColumn="0" w:oddVBand="0" w:evenVBand="0" w:oddHBand="1" w:evenHBand="0" w:firstRowFirstColumn="0" w:firstRowLastColumn="0" w:lastRowFirstColumn="0" w:lastRowLastColumn="0"/>
            </w:pPr>
            <w:r>
              <w:t>31.9</w:t>
            </w:r>
          </w:p>
        </w:tc>
      </w:tr>
      <w:tr w:rsidR="00A3536F" w14:paraId="53156709" w14:textId="617E5583" w:rsidTr="00A3536F">
        <w:trPr>
          <w:cnfStyle w:val="000000010000" w:firstRow="0" w:lastRow="0" w:firstColumn="0" w:lastColumn="0" w:oddVBand="0" w:evenVBand="0" w:oddHBand="0" w:evenHBand="1"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3900" w:type="dxa"/>
          </w:tcPr>
          <w:p w14:paraId="0CAAE97A" w14:textId="610D232E" w:rsidR="00A3536F" w:rsidRPr="001C50B5" w:rsidRDefault="00A3536F" w:rsidP="00FD102C">
            <w:pPr>
              <w:pStyle w:val="TableLeftText"/>
            </w:pPr>
            <w:r>
              <w:t>Firewood, non-commercial</w:t>
            </w:r>
          </w:p>
        </w:tc>
        <w:tc>
          <w:tcPr>
            <w:tcW w:w="0" w:type="auto"/>
          </w:tcPr>
          <w:p w14:paraId="13CBB315" w14:textId="1CF0CFAD" w:rsidR="00A3536F" w:rsidRPr="00FA3A09" w:rsidRDefault="00A3536F" w:rsidP="00FD102C">
            <w:pPr>
              <w:pStyle w:val="TableCenterText"/>
              <w:cnfStyle w:val="000000010000" w:firstRow="0" w:lastRow="0" w:firstColumn="0" w:lastColumn="0" w:oddVBand="0" w:evenVBand="0" w:oddHBand="0" w:evenHBand="1" w:firstRowFirstColumn="0" w:firstRowLastColumn="0" w:lastRowFirstColumn="0" w:lastRowLastColumn="0"/>
            </w:pPr>
            <w:r>
              <w:t>29.5</w:t>
            </w:r>
          </w:p>
        </w:tc>
        <w:tc>
          <w:tcPr>
            <w:tcW w:w="0" w:type="auto"/>
          </w:tcPr>
          <w:p w14:paraId="08A1E43B" w14:textId="2F99AE23" w:rsidR="00A3536F" w:rsidRPr="00FA3A09" w:rsidRDefault="00A3536F" w:rsidP="00FD102C">
            <w:pPr>
              <w:pStyle w:val="TableCenterText"/>
              <w:cnfStyle w:val="000000010000" w:firstRow="0" w:lastRow="0" w:firstColumn="0" w:lastColumn="0" w:oddVBand="0" w:evenVBand="0" w:oddHBand="0" w:evenHBand="1" w:firstRowFirstColumn="0" w:firstRowLastColumn="0" w:lastRowFirstColumn="0" w:lastRowLastColumn="0"/>
            </w:pPr>
            <w:r>
              <w:t>0.3</w:t>
            </w:r>
          </w:p>
        </w:tc>
        <w:tc>
          <w:tcPr>
            <w:tcW w:w="0" w:type="auto"/>
          </w:tcPr>
          <w:p w14:paraId="45BD565E" w14:textId="17BE3BB9" w:rsidR="00A3536F" w:rsidRPr="00FA3A09" w:rsidRDefault="00A3536F" w:rsidP="00FD102C">
            <w:pPr>
              <w:pStyle w:val="TableCenterText"/>
              <w:cnfStyle w:val="000000010000" w:firstRow="0" w:lastRow="0" w:firstColumn="0" w:lastColumn="0" w:oddVBand="0" w:evenVBand="0" w:oddHBand="0" w:evenHBand="1" w:firstRowFirstColumn="0" w:firstRowLastColumn="0" w:lastRowFirstColumn="0" w:lastRowLastColumn="0"/>
            </w:pPr>
            <w:r>
              <w:t>29.8</w:t>
            </w:r>
          </w:p>
        </w:tc>
      </w:tr>
    </w:tbl>
    <w:p w14:paraId="024162BA" w14:textId="69771893" w:rsidR="00FF1877" w:rsidRPr="00883175" w:rsidRDefault="00FF1877" w:rsidP="00A3536F">
      <w:pPr>
        <w:spacing w:after="0"/>
        <w:ind w:left="2070" w:right="2016"/>
        <w:rPr>
          <w:i/>
          <w:iCs/>
          <w:sz w:val="18"/>
          <w:szCs w:val="18"/>
        </w:rPr>
      </w:pPr>
      <w:r w:rsidRPr="00883175">
        <w:rPr>
          <w:i/>
          <w:iCs/>
          <w:sz w:val="18"/>
          <w:szCs w:val="18"/>
        </w:rPr>
        <w:t>Source:</w:t>
      </w:r>
      <w:r>
        <w:rPr>
          <w:i/>
          <w:iCs/>
          <w:sz w:val="18"/>
          <w:szCs w:val="18"/>
        </w:rPr>
        <w:t xml:space="preserve"> Opinion Dynamics analysis referencing GREET1 2023rev1, Vermont Energy Sector Life Cycle Assessment report, and U.S. EPA 2024 GHG Emissions Factors Hub.</w:t>
      </w:r>
      <w:r w:rsidR="00B569B1" w:rsidRPr="00B569B1">
        <w:rPr>
          <w:i/>
          <w:iCs/>
          <w:sz w:val="18"/>
          <w:szCs w:val="18"/>
        </w:rPr>
        <w:t xml:space="preserve"> </w:t>
      </w:r>
      <w:r w:rsidR="00B569B1">
        <w:rPr>
          <w:i/>
          <w:iCs/>
          <w:sz w:val="18"/>
          <w:szCs w:val="18"/>
        </w:rPr>
        <w:t xml:space="preserve">Numbers may not </w:t>
      </w:r>
      <w:proofErr w:type="gramStart"/>
      <w:r w:rsidR="00B569B1">
        <w:rPr>
          <w:i/>
          <w:iCs/>
          <w:sz w:val="18"/>
          <w:szCs w:val="18"/>
        </w:rPr>
        <w:t>add</w:t>
      </w:r>
      <w:proofErr w:type="gramEnd"/>
      <w:r w:rsidR="00B569B1">
        <w:rPr>
          <w:i/>
          <w:iCs/>
          <w:sz w:val="18"/>
          <w:szCs w:val="18"/>
        </w:rPr>
        <w:t xml:space="preserve"> due to rounding.</w:t>
      </w:r>
    </w:p>
    <w:p w14:paraId="15983899" w14:textId="0398D61A" w:rsidR="00C17C51" w:rsidRDefault="00C17C51" w:rsidP="00C17C51">
      <w:pPr>
        <w:pStyle w:val="Heading4"/>
      </w:pPr>
      <w:r>
        <w:t>Summary of Comments Received</w:t>
      </w:r>
    </w:p>
    <w:p w14:paraId="7AAF5D17" w14:textId="4B5C760D" w:rsidR="00A3536F" w:rsidRDefault="00A3536F" w:rsidP="00A3536F">
      <w:r>
        <w:rPr>
          <w:bCs/>
        </w:rPr>
        <w:t>P</w:t>
      </w:r>
      <w:r w:rsidRPr="00A3536F">
        <w:t xml:space="preserve">rior to, during, and after </w:t>
      </w:r>
      <w:r>
        <w:t>the</w:t>
      </w:r>
      <w:r w:rsidR="00CE668D">
        <w:t xml:space="preserve"> September 19</w:t>
      </w:r>
      <w:r>
        <w:t xml:space="preserve"> TAG</w:t>
      </w:r>
      <w:r w:rsidRPr="00A3536F">
        <w:t xml:space="preserve"> presentation, Opinion Dynamics received a wide range of </w:t>
      </w:r>
      <w:r>
        <w:t xml:space="preserve">questions and </w:t>
      </w:r>
      <w:r w:rsidRPr="00A3536F">
        <w:t>comments on the approach to lifecycle carbon intensity values for wood fuels (wood pellets, wood chips, commercial firewood, and non-commercial firewood) included in the schedule.</w:t>
      </w:r>
      <w:r>
        <w:t xml:space="preserve"> We attempt to summarize those comments below</w:t>
      </w:r>
      <w:r w:rsidR="00B2393F">
        <w:t xml:space="preserve"> at a high level</w:t>
      </w:r>
      <w:r>
        <w:t xml:space="preserve"> to provide context around our responses.</w:t>
      </w:r>
    </w:p>
    <w:p w14:paraId="3C2A962B" w14:textId="79A026D0" w:rsidR="00A3536F" w:rsidRDefault="00A3536F" w:rsidP="00A3536F">
      <w:pPr>
        <w:pStyle w:val="Heading5"/>
      </w:pPr>
      <w:r w:rsidRPr="00A3536F">
        <w:t>Comments from TAG Members</w:t>
      </w:r>
    </w:p>
    <w:p w14:paraId="2FCFADCC" w14:textId="471DF603" w:rsidR="00A3536F" w:rsidRDefault="00A3536F" w:rsidP="00A3536F">
      <w:r>
        <w:t xml:space="preserve">TAG members and their invited guests shared a range of questions around our approach to lifecycle analysis for wood fuels. Comments focused largely </w:t>
      </w:r>
      <w:proofErr w:type="gramStart"/>
      <w:r>
        <w:t>around</w:t>
      </w:r>
      <w:proofErr w:type="gramEnd"/>
      <w:r>
        <w:t xml:space="preserve"> </w:t>
      </w:r>
      <w:r w:rsidR="00250A79">
        <w:t xml:space="preserve">the source of wood fuels in the Northeast and whether it is appropriate to treat biogenic carbon emissions from wood fuels differently than biogenic carbon from other fuels. </w:t>
      </w:r>
    </w:p>
    <w:p w14:paraId="1E530471" w14:textId="347E7342" w:rsidR="00250A79" w:rsidRDefault="00A3536F" w:rsidP="00250A79">
      <w:r>
        <w:t>Multiple TAG members shared the position that wood fuels in the Northeast are derived largely or entirely wholly from wood wastes and that treating these fuels as short-rotation energy dedicated wood crops is inaccurate.</w:t>
      </w:r>
      <w:r w:rsidR="00250A79">
        <w:t xml:space="preserve"> </w:t>
      </w:r>
      <w:r w:rsidR="00250A79" w:rsidRPr="00250A79">
        <w:t>TAG member</w:t>
      </w:r>
      <w:r w:rsidR="00250A79">
        <w:t xml:space="preserve">s </w:t>
      </w:r>
      <w:r w:rsidR="00250A79">
        <w:lastRenderedPageBreak/>
        <w:t>also shared the position that wood fuels in the Northeast should be viewed on a landscape scale rather than at a stand level. TAG members also shared information around forest management practices and shared the position that it is poor forest management practice to “</w:t>
      </w:r>
      <w:proofErr w:type="spellStart"/>
      <w:r w:rsidR="00250A79">
        <w:t>highgrade</w:t>
      </w:r>
      <w:proofErr w:type="spellEnd"/>
      <w:r w:rsidR="00250A79">
        <w:t>” (harvest only wood that can be used for non-thermal purposes [e.g. dimensional lumber, furniture, veneers]); and that other wood that can be used only for thermal purposes should be harvested to maintain forest health.</w:t>
      </w:r>
    </w:p>
    <w:p w14:paraId="67689E85" w14:textId="1356D3CB" w:rsidR="00250A79" w:rsidRDefault="00B569B1" w:rsidP="00250A79">
      <w:r>
        <w:t>In general</w:t>
      </w:r>
      <w:r w:rsidR="00250A79">
        <w:t>, our understanding is that commenting TAG members (which may or may not represent the views of TAG as a whole) believe that the carbon intensity values we provided in our August 29 deliverable</w:t>
      </w:r>
      <w:r>
        <w:t xml:space="preserve"> overestimate the carbon intensity of wood fuels.</w:t>
      </w:r>
    </w:p>
    <w:p w14:paraId="23D2438A" w14:textId="35C97969" w:rsidR="00A3536F" w:rsidRDefault="00A3536F" w:rsidP="00A3536F">
      <w:pPr>
        <w:pStyle w:val="Heading5"/>
      </w:pPr>
      <w:r w:rsidRPr="00A3536F">
        <w:t>Comments from Members</w:t>
      </w:r>
      <w:r>
        <w:t xml:space="preserve"> of the Public</w:t>
      </w:r>
    </w:p>
    <w:p w14:paraId="1933C8B3" w14:textId="662BED08" w:rsidR="00B2393F" w:rsidRDefault="00B2393F" w:rsidP="00250A79">
      <w:r>
        <w:t>Numerous m</w:t>
      </w:r>
      <w:r w:rsidR="00250A79">
        <w:t xml:space="preserve">embers of the public also shared positions on the treatment of wood fuels in our analysis. </w:t>
      </w:r>
      <w:r>
        <w:t>The specifics of public comments were wide-ranging, but c</w:t>
      </w:r>
      <w:r w:rsidR="00250A79">
        <w:t xml:space="preserve">omments generally </w:t>
      </w:r>
      <w:r>
        <w:t>expressed</w:t>
      </w:r>
      <w:r w:rsidR="00250A79">
        <w:t xml:space="preserve"> </w:t>
      </w:r>
      <w:r>
        <w:t xml:space="preserve">belief that wood harvesting in Vermont is being completed specifically for thermal purposes, belief that proper scientific and carbon accounting practices for wood products are not being followed in our analysis, and disagreement with the analytical approach used in our August 29 deliverable (including specific disagreements with the approach used to calculate the </w:t>
      </w:r>
      <w:proofErr w:type="spellStart"/>
      <w:r>
        <w:t>GWP</w:t>
      </w:r>
      <w:r>
        <w:rPr>
          <w:vertAlign w:val="subscript"/>
        </w:rPr>
        <w:t>bio</w:t>
      </w:r>
      <w:proofErr w:type="spellEnd"/>
      <w:r>
        <w:t xml:space="preserve"> factor applied in our analysis).</w:t>
      </w:r>
    </w:p>
    <w:p w14:paraId="08ABB7F7" w14:textId="49AC4133" w:rsidR="00250A79" w:rsidRPr="00084B70" w:rsidRDefault="00B2393F" w:rsidP="00250A79">
      <w:r>
        <w:t xml:space="preserve">Comments suggested a range of approaches, including removing wood products from the CHS altogether, using the </w:t>
      </w:r>
      <w:r w:rsidRPr="00B2393F">
        <w:t xml:space="preserve">U.S. EPA GHG Emissions Factors Hub </w:t>
      </w:r>
      <w:r>
        <w:t xml:space="preserve">emissions factors for wood combustion emissions without modification, and using revised </w:t>
      </w:r>
      <w:proofErr w:type="spellStart"/>
      <w:r>
        <w:t>GWP</w:t>
      </w:r>
      <w:r>
        <w:rPr>
          <w:vertAlign w:val="subscript"/>
        </w:rPr>
        <w:t>bio</w:t>
      </w:r>
      <w:proofErr w:type="spellEnd"/>
      <w:r>
        <w:t xml:space="preserve"> factors.</w:t>
      </w:r>
      <w:r w:rsidR="00084B70">
        <w:t xml:space="preserve"> Specific to </w:t>
      </w:r>
      <w:proofErr w:type="spellStart"/>
      <w:r w:rsidR="00084B70">
        <w:t>GWP</w:t>
      </w:r>
      <w:r w:rsidR="00084B70">
        <w:rPr>
          <w:vertAlign w:val="subscript"/>
        </w:rPr>
        <w:t>bio</w:t>
      </w:r>
      <w:proofErr w:type="spellEnd"/>
      <w:r w:rsidR="00084B70">
        <w:t>, members of the public shared the position that the mix of wood species we used to develop this factor was not appropriate for Vermont.</w:t>
      </w:r>
    </w:p>
    <w:p w14:paraId="085AFE42" w14:textId="1B3CFFB2" w:rsidR="00B2393F" w:rsidRDefault="00B2393F" w:rsidP="00250A79">
      <w:r>
        <w:t>Largely, our understanding is that commenting members of the public believe that the carbon intensity values we provided in our August 29 deliverable for wood fuels are too low and largely that wood fuels should not be used to replace fossil fuels.</w:t>
      </w:r>
    </w:p>
    <w:p w14:paraId="3C26D1FD" w14:textId="65C9782C" w:rsidR="00C17C51" w:rsidRDefault="00DC7CD5" w:rsidP="00C17C51">
      <w:pPr>
        <w:pStyle w:val="Heading4"/>
      </w:pPr>
      <w:r>
        <w:t>Response to Analytical Comments</w:t>
      </w:r>
      <w:r w:rsidR="00A3536F">
        <w:t xml:space="preserve"> and Updates</w:t>
      </w:r>
    </w:p>
    <w:p w14:paraId="60DA0276" w14:textId="3249E066" w:rsidR="00A3536F" w:rsidRDefault="00B2393F" w:rsidP="00A3536F">
      <w:r>
        <w:t xml:space="preserve">We appreciate </w:t>
      </w:r>
      <w:proofErr w:type="gramStart"/>
      <w:r>
        <w:t>all of</w:t>
      </w:r>
      <w:proofErr w:type="gramEnd"/>
      <w:r>
        <w:t xml:space="preserve"> the comments received from members of the TAG and members of the public. </w:t>
      </w:r>
      <w:r w:rsidR="00084B70">
        <w:t xml:space="preserve">We </w:t>
      </w:r>
      <w:r w:rsidR="002936CD">
        <w:t>respond to a select set of comments below</w:t>
      </w:r>
      <w:r w:rsidR="00CE668D">
        <w:t xml:space="preserve"> and propose an updated approach.</w:t>
      </w:r>
    </w:p>
    <w:p w14:paraId="06E16D86" w14:textId="5C4C65BF" w:rsidR="00084B70" w:rsidRDefault="00084B70" w:rsidP="00084B70">
      <w:pPr>
        <w:pStyle w:val="Heading5"/>
      </w:pPr>
      <w:r>
        <w:t>Removal of Non-Commercial Firewood</w:t>
      </w:r>
      <w:r w:rsidR="00CE668D">
        <w:t xml:space="preserve"> from Analysis</w:t>
      </w:r>
    </w:p>
    <w:p w14:paraId="4BE004C4" w14:textId="73B63AD2" w:rsidR="00CE668D" w:rsidRDefault="00CE668D" w:rsidP="00CE668D">
      <w:r>
        <w:t xml:space="preserve">As shared in the September 19 TAG meeting, we plan to remove the separate “firewood, non-commercial” carbon intensities from </w:t>
      </w:r>
      <w:r w:rsidR="00B52C98">
        <w:t>the emissions schedule.</w:t>
      </w:r>
      <w:r w:rsidR="00B569B1">
        <w:t xml:space="preserve"> TAG has not provided any comments disagreeing with this choice.</w:t>
      </w:r>
    </w:p>
    <w:p w14:paraId="49CE9BCE" w14:textId="1CBCE2CF" w:rsidR="00084B70" w:rsidRDefault="00084B70" w:rsidP="00084B70">
      <w:pPr>
        <w:pStyle w:val="Heading5"/>
      </w:pPr>
      <w:r>
        <w:t>Treatment of Wood as a Waste Product</w:t>
      </w:r>
    </w:p>
    <w:p w14:paraId="2EBD7C36" w14:textId="729F0706" w:rsidR="00B52C98" w:rsidRDefault="00B52C98" w:rsidP="00B52C98">
      <w:r>
        <w:t>Our initial upstream emissions analysis, using GREET, allocated a share of upstream emissions associated with forest management, harvesting, and lumber milling to wood chips and pellets based on an economic allocation of the value of those products vs. other wood products (e.g. dimensional lumber, etc.).</w:t>
      </w:r>
    </w:p>
    <w:p w14:paraId="3F621C33" w14:textId="1A83E2A8" w:rsidR="00B52C98" w:rsidRDefault="00B52C98" w:rsidP="00B52C98">
      <w:r>
        <w:t>As documented above, multiple TAG members commented that wood fuels in Vermont should be understood as being derived from wastes rather than purpose-grown/harvested products, and therefore that upstream emissions associated with</w:t>
      </w:r>
      <w:r w:rsidRPr="00B52C98">
        <w:t xml:space="preserve"> forest management, harvesting, and lumber milling</w:t>
      </w:r>
      <w:r>
        <w:t xml:space="preserve"> for these products should be zero to reflect that these products are not driving these activities. Note that some upstream emissions would still be associated with these fuels to reflect other production steps for these fuels.</w:t>
      </w:r>
    </w:p>
    <w:p w14:paraId="4C0BFC45" w14:textId="54330689" w:rsidR="00B2393F" w:rsidRPr="00B2393F" w:rsidRDefault="00B2393F" w:rsidP="00B52C98">
      <w:pPr>
        <w:pStyle w:val="Heading5"/>
        <w:keepNext/>
        <w:keepLines/>
        <w:rPr>
          <w:vertAlign w:val="subscript"/>
        </w:rPr>
      </w:pPr>
      <w:r>
        <w:lastRenderedPageBreak/>
        <w:t xml:space="preserve">Calculation of </w:t>
      </w:r>
      <w:proofErr w:type="spellStart"/>
      <w:r>
        <w:t>GWP</w:t>
      </w:r>
      <w:r>
        <w:rPr>
          <w:vertAlign w:val="subscript"/>
        </w:rPr>
        <w:t>bio</w:t>
      </w:r>
      <w:proofErr w:type="spellEnd"/>
    </w:p>
    <w:p w14:paraId="19B9C48A" w14:textId="1AC3F651" w:rsidR="00B52C98" w:rsidRDefault="00084B70" w:rsidP="00084B70">
      <w:r>
        <w:t>As described above,</w:t>
      </w:r>
      <w:r w:rsidRPr="00084B70">
        <w:t xml:space="preserve"> </w:t>
      </w:r>
      <w:r>
        <w:t>i</w:t>
      </w:r>
      <w:r w:rsidRPr="00084B70">
        <w:t xml:space="preserve">n our first draft of the </w:t>
      </w:r>
      <w:r>
        <w:t>emissions</w:t>
      </w:r>
      <w:r w:rsidRPr="00084B70">
        <w:t xml:space="preserve"> schedule</w:t>
      </w:r>
      <w:r>
        <w:t xml:space="preserve">, we </w:t>
      </w:r>
      <w:r w:rsidR="00B52C98">
        <w:t>calculated and applied</w:t>
      </w:r>
      <w:r>
        <w:t xml:space="preserve"> a </w:t>
      </w:r>
      <w:proofErr w:type="spellStart"/>
      <w:r>
        <w:t>GWP</w:t>
      </w:r>
      <w:r>
        <w:rPr>
          <w:vertAlign w:val="subscript"/>
        </w:rPr>
        <w:t>bio</w:t>
      </w:r>
      <w:proofErr w:type="spellEnd"/>
      <w:r>
        <w:t xml:space="preserve"> factor of 0.32 to combustion emissions from wood fuels, which assumes a 50/50 split of </w:t>
      </w:r>
      <w:r w:rsidRPr="00084B70">
        <w:t>spruce and pine woods from a cool temperate region</w:t>
      </w:r>
      <w:r w:rsidR="00B52C98">
        <w:t xml:space="preserve"> using </w:t>
      </w:r>
      <w:r w:rsidR="00B52C98" w:rsidRPr="00B52C98">
        <w:t>a publicly available World Wildlife Fund biogenic carbon footprint calculator.</w:t>
      </w:r>
      <w:r w:rsidR="00B52C98">
        <w:rPr>
          <w:rStyle w:val="FootnoteReference"/>
        </w:rPr>
        <w:footnoteReference w:id="8"/>
      </w:r>
    </w:p>
    <w:p w14:paraId="71412B00" w14:textId="09E44910" w:rsidR="00084B70" w:rsidRPr="00084B70" w:rsidRDefault="00084B70" w:rsidP="00084B70">
      <w:r>
        <w:t xml:space="preserve">As described above, members of the public disagreed with this characterization. In addition, our calculation of this factor does not align with our upstream emissions analysis for wood products, which assumed a mix of maple/beech/birch (hardwoods) in place of spruce. A consistent analysis would have aligned with our upstream analysis. Assuming a 50/50 split of beech and pine would have resulted in a </w:t>
      </w:r>
      <w:proofErr w:type="spellStart"/>
      <w:r>
        <w:t>GWP</w:t>
      </w:r>
      <w:r>
        <w:rPr>
          <w:vertAlign w:val="subscript"/>
        </w:rPr>
        <w:t>bio</w:t>
      </w:r>
      <w:proofErr w:type="spellEnd"/>
      <w:r>
        <w:rPr>
          <w:vertAlign w:val="subscript"/>
        </w:rPr>
        <w:t xml:space="preserve"> </w:t>
      </w:r>
      <w:r w:rsidRPr="00084B70">
        <w:t>of 0.48.</w:t>
      </w:r>
    </w:p>
    <w:p w14:paraId="0D896788" w14:textId="0CD36BB9" w:rsidR="00B2393F" w:rsidRDefault="00084B70" w:rsidP="00084B70">
      <w:r>
        <w:t>Furthermore, we have received comments from members of the public that indicate a 50/50 distribution of hardwoods and pine is not reflective of Vermont’s forests. We conducted secondary research and identified a report that indicates that 70% of Vermont forests are maple/beech/birch and 7% are spruce/fir.</w:t>
      </w:r>
      <w:r>
        <w:rPr>
          <w:rStyle w:val="FootnoteReference"/>
        </w:rPr>
        <w:footnoteReference w:id="9"/>
      </w:r>
      <w:r>
        <w:t xml:space="preserve"> To be consistent with the GREET model’s wood species approach, we recalculate the </w:t>
      </w:r>
      <w:proofErr w:type="spellStart"/>
      <w:r>
        <w:t>GWP</w:t>
      </w:r>
      <w:r>
        <w:rPr>
          <w:vertAlign w:val="subscript"/>
        </w:rPr>
        <w:t>bio</w:t>
      </w:r>
      <w:proofErr w:type="spellEnd"/>
      <w:r>
        <w:t xml:space="preserve"> factor with this distribution normalized to 100% for these two species, which leads to a 91/9</w:t>
      </w:r>
      <w:r w:rsidR="008E4050">
        <w:t>%</w:t>
      </w:r>
      <w:r>
        <w:t xml:space="preserve"> mix of beech and pine woods from a cool temperate climate. The resulting </w:t>
      </w:r>
      <w:proofErr w:type="spellStart"/>
      <w:r>
        <w:t>GWP</w:t>
      </w:r>
      <w:r w:rsidRPr="00084B70">
        <w:rPr>
          <w:vertAlign w:val="subscript"/>
        </w:rPr>
        <w:t>bio</w:t>
      </w:r>
      <w:proofErr w:type="spellEnd"/>
      <w:r>
        <w:t xml:space="preserve"> using these assumptions is 0.75.</w:t>
      </w:r>
    </w:p>
    <w:p w14:paraId="621F5C2F" w14:textId="4C3010F1" w:rsidR="00B52C98" w:rsidRPr="00F961E2" w:rsidRDefault="00F961E2" w:rsidP="00084B70">
      <w:r>
        <w:t>Alternatively, m</w:t>
      </w:r>
      <w:r w:rsidR="00B52C98">
        <w:t xml:space="preserve">embers of the TAG have commented that wood fuels should be treated as waste products. </w:t>
      </w:r>
      <w:r>
        <w:t xml:space="preserve">Using this assumption, the resulting </w:t>
      </w:r>
      <w:proofErr w:type="spellStart"/>
      <w:r>
        <w:t>GWP</w:t>
      </w:r>
      <w:r>
        <w:rPr>
          <w:vertAlign w:val="subscript"/>
        </w:rPr>
        <w:t>bio</w:t>
      </w:r>
      <w:proofErr w:type="spellEnd"/>
      <w:r>
        <w:rPr>
          <w:vertAlign w:val="subscript"/>
        </w:rPr>
        <w:t xml:space="preserve"> </w:t>
      </w:r>
      <w:r w:rsidRPr="00F961E2">
        <w:t>would be 0.00.</w:t>
      </w:r>
    </w:p>
    <w:p w14:paraId="529A4026" w14:textId="53908C6C" w:rsidR="00B2393F" w:rsidRDefault="00B2393F" w:rsidP="00B2393F">
      <w:pPr>
        <w:pStyle w:val="Heading5"/>
      </w:pPr>
      <w:r>
        <w:t>Proposed Revisions to Approach</w:t>
      </w:r>
    </w:p>
    <w:p w14:paraId="752975D4" w14:textId="1C361391" w:rsidR="00B2393F" w:rsidRDefault="00B52C98" w:rsidP="00B52C98">
      <w:r>
        <w:t>Using the information above, we propose a set of revisions to our initially reported carbon intensity values for wood fuels:</w:t>
      </w:r>
    </w:p>
    <w:p w14:paraId="56277F84" w14:textId="103E824F" w:rsidR="00B52C98" w:rsidRDefault="00B52C98" w:rsidP="00B52C98">
      <w:pPr>
        <w:pStyle w:val="ListBullet"/>
      </w:pPr>
      <w:r>
        <w:t xml:space="preserve">Treat wood pellets and chips consistently as a waste </w:t>
      </w:r>
      <w:commentRangeStart w:id="1"/>
      <w:r>
        <w:t>product</w:t>
      </w:r>
      <w:commentRangeEnd w:id="1"/>
      <w:r w:rsidR="008E4050">
        <w:rPr>
          <w:rStyle w:val="CommentReference"/>
        </w:rPr>
        <w:commentReference w:id="1"/>
      </w:r>
      <w:r>
        <w:t xml:space="preserve"> in our analysis.</w:t>
      </w:r>
    </w:p>
    <w:p w14:paraId="3835B72B" w14:textId="5F6CF942" w:rsidR="00F961E2" w:rsidRPr="00F961E2" w:rsidRDefault="00B52C98" w:rsidP="00F961E2">
      <w:pPr>
        <w:pStyle w:val="ListBullet2"/>
      </w:pPr>
      <w:r>
        <w:t xml:space="preserve">This choice would set upstream emissions for </w:t>
      </w:r>
      <w:r w:rsidRPr="00B52C98">
        <w:t>forest management, harvesting, and lumber milling</w:t>
      </w:r>
      <w:r>
        <w:t xml:space="preserve"> for these </w:t>
      </w:r>
      <w:r w:rsidR="00F961E2">
        <w:t>fuels</w:t>
      </w:r>
      <w:r>
        <w:t xml:space="preserve"> to zero</w:t>
      </w:r>
      <w:r w:rsidR="00F961E2">
        <w:t xml:space="preserve">, and would lead to the use of a </w:t>
      </w:r>
      <w:r w:rsidR="00F961E2" w:rsidRPr="00F961E2">
        <w:t xml:space="preserve">corresponding </w:t>
      </w:r>
      <w:proofErr w:type="spellStart"/>
      <w:r w:rsidR="00F961E2" w:rsidRPr="00F961E2">
        <w:t>GWP</w:t>
      </w:r>
      <w:r w:rsidR="00F961E2" w:rsidRPr="008E4050">
        <w:rPr>
          <w:vertAlign w:val="subscript"/>
        </w:rPr>
        <w:t>bio</w:t>
      </w:r>
      <w:proofErr w:type="spellEnd"/>
      <w:r w:rsidR="00F961E2" w:rsidRPr="00F961E2">
        <w:t xml:space="preserve"> of 0.00 for these fuels.</w:t>
      </w:r>
      <w:r w:rsidR="008E4050">
        <w:t xml:space="preserve"> Upstream emissions associated with waste collection, fuel processing, and transport would still exist for these fuels.</w:t>
      </w:r>
    </w:p>
    <w:p w14:paraId="70EE2651" w14:textId="29B5DE0F" w:rsidR="00F961E2" w:rsidRDefault="00F961E2" w:rsidP="00F961E2">
      <w:pPr>
        <w:pStyle w:val="ListBullet"/>
      </w:pPr>
      <w:r>
        <w:t>Treat commercial firewood as a non-waste product.</w:t>
      </w:r>
    </w:p>
    <w:p w14:paraId="709C36E2" w14:textId="1B18DC54" w:rsidR="00F961E2" w:rsidRDefault="00F961E2" w:rsidP="00F961E2">
      <w:pPr>
        <w:pStyle w:val="ListBullet2"/>
      </w:pPr>
      <w:r>
        <w:t xml:space="preserve">This choice would associate </w:t>
      </w:r>
      <w:r w:rsidRPr="00F961E2">
        <w:t>upstream emissions for forest management</w:t>
      </w:r>
      <w:r>
        <w:t xml:space="preserve"> and harvesting with firewood and would lead to the use of a </w:t>
      </w:r>
      <w:proofErr w:type="spellStart"/>
      <w:r>
        <w:t>GWP</w:t>
      </w:r>
      <w:r>
        <w:rPr>
          <w:vertAlign w:val="subscript"/>
        </w:rPr>
        <w:t>bio</w:t>
      </w:r>
      <w:proofErr w:type="spellEnd"/>
      <w:r>
        <w:t xml:space="preserve"> of 0.75 as described above.</w:t>
      </w:r>
    </w:p>
    <w:p w14:paraId="1A29310C" w14:textId="7038E651" w:rsidR="00A3536F" w:rsidRDefault="00A3536F" w:rsidP="00A3536F">
      <w:r>
        <w:fldChar w:fldCharType="begin"/>
      </w:r>
      <w:r>
        <w:instrText xml:space="preserve"> REF _Ref179367712 \h </w:instrText>
      </w:r>
      <w:r>
        <w:fldChar w:fldCharType="separate"/>
      </w:r>
      <w:r>
        <w:t xml:space="preserve">Table </w:t>
      </w:r>
      <w:r>
        <w:rPr>
          <w:noProof/>
        </w:rPr>
        <w:t>2</w:t>
      </w:r>
      <w:r>
        <w:fldChar w:fldCharType="end"/>
      </w:r>
      <w:r>
        <w:t xml:space="preserve"> below presents 2025 lifecycle carbon intensity values for wood fuels following the proposed updates above, separated by combustion and lifecycle phases. Note that the final upstream carbon intensity values will be in schedule form and change a small amount on a year-to-year basis; these values represent 2025 only.</w:t>
      </w:r>
    </w:p>
    <w:p w14:paraId="35D60CE0" w14:textId="77777777" w:rsidR="00B569B1" w:rsidRDefault="00B569B1" w:rsidP="00B569B1"/>
    <w:p w14:paraId="1FD06E5E" w14:textId="77777777" w:rsidR="00B569B1" w:rsidRDefault="00B569B1" w:rsidP="00B569B1"/>
    <w:p w14:paraId="3DA252A9" w14:textId="529922C7" w:rsidR="00B569B1" w:rsidRPr="00B569B1" w:rsidRDefault="00B569B1" w:rsidP="00B569B1">
      <w:pPr>
        <w:tabs>
          <w:tab w:val="left" w:pos="9525"/>
        </w:tabs>
      </w:pPr>
      <w:r>
        <w:tab/>
      </w:r>
    </w:p>
    <w:p w14:paraId="394B5FF1" w14:textId="0B931517" w:rsidR="00A3536F" w:rsidRDefault="00A3536F" w:rsidP="00F961E2">
      <w:pPr>
        <w:pStyle w:val="Caption"/>
        <w:keepLines/>
      </w:pPr>
      <w:bookmarkStart w:id="2" w:name="_Ref179367712"/>
      <w:r>
        <w:lastRenderedPageBreak/>
        <w:t xml:space="preserve">Table </w:t>
      </w:r>
      <w:r>
        <w:fldChar w:fldCharType="begin"/>
      </w:r>
      <w:r>
        <w:instrText xml:space="preserve"> SEQ Table \* ARABIC </w:instrText>
      </w:r>
      <w:r>
        <w:fldChar w:fldCharType="separate"/>
      </w:r>
      <w:r>
        <w:rPr>
          <w:noProof/>
        </w:rPr>
        <w:t>2</w:t>
      </w:r>
      <w:r>
        <w:rPr>
          <w:noProof/>
        </w:rPr>
        <w:fldChar w:fldCharType="end"/>
      </w:r>
      <w:bookmarkEnd w:id="2"/>
      <w:r>
        <w:t>. 2025 Lifecycle Carbon Intensity Values for Wood Fuels (Proposed Revisions)</w:t>
      </w:r>
    </w:p>
    <w:tbl>
      <w:tblPr>
        <w:tblStyle w:val="ODCBasic-1"/>
        <w:tblW w:w="0" w:type="auto"/>
        <w:tblCellMar>
          <w:top w:w="0" w:type="dxa"/>
        </w:tblCellMar>
        <w:tblLook w:val="04A0" w:firstRow="1" w:lastRow="0" w:firstColumn="1" w:lastColumn="0" w:noHBand="0" w:noVBand="1"/>
      </w:tblPr>
      <w:tblGrid>
        <w:gridCol w:w="3900"/>
        <w:gridCol w:w="1334"/>
        <w:gridCol w:w="1114"/>
        <w:gridCol w:w="645"/>
      </w:tblGrid>
      <w:tr w:rsidR="00A3536F" w14:paraId="41E5BC41" w14:textId="77777777" w:rsidTr="00532859">
        <w:trPr>
          <w:cnfStyle w:val="100000000000" w:firstRow="1" w:lastRow="0" w:firstColumn="0" w:lastColumn="0" w:oddVBand="0" w:evenVBand="0" w:oddHBand="0" w:evenHBand="0" w:firstRowFirstColumn="0" w:firstRowLastColumn="0" w:lastRowFirstColumn="0" w:lastRowLastColumn="0"/>
          <w:trHeight w:val="386"/>
          <w:tblHeader/>
        </w:trPr>
        <w:tc>
          <w:tcPr>
            <w:cnfStyle w:val="001000000000" w:firstRow="0" w:lastRow="0" w:firstColumn="1" w:lastColumn="0" w:oddVBand="0" w:evenVBand="0" w:oddHBand="0" w:evenHBand="0" w:firstRowFirstColumn="0" w:firstRowLastColumn="0" w:lastRowFirstColumn="0" w:lastRowLastColumn="0"/>
            <w:tcW w:w="3900" w:type="dxa"/>
            <w:vMerge w:val="restart"/>
            <w:tcBorders>
              <w:bottom w:val="single" w:sz="4" w:space="0" w:color="4A4D56" w:themeColor="text1"/>
              <w:right w:val="single" w:sz="4" w:space="0" w:color="4A4D56" w:themeColor="text1"/>
            </w:tcBorders>
          </w:tcPr>
          <w:p w14:paraId="41EDA07F" w14:textId="77777777" w:rsidR="00A3536F" w:rsidRPr="00625570" w:rsidRDefault="00A3536F" w:rsidP="00F961E2">
            <w:pPr>
              <w:pStyle w:val="TableHeadingLeft"/>
              <w:keepNext/>
              <w:keepLines/>
            </w:pPr>
            <w:r>
              <w:t>Wood Fuel</w:t>
            </w:r>
          </w:p>
        </w:tc>
        <w:tc>
          <w:tcPr>
            <w:tcW w:w="0" w:type="auto"/>
            <w:gridSpan w:val="3"/>
            <w:tcBorders>
              <w:left w:val="single" w:sz="4" w:space="0" w:color="4A4D56" w:themeColor="text1"/>
              <w:bottom w:val="single" w:sz="4" w:space="0" w:color="4A4D56" w:themeColor="text1"/>
              <w:right w:val="single" w:sz="4" w:space="0" w:color="4A4D56" w:themeColor="text1"/>
            </w:tcBorders>
          </w:tcPr>
          <w:p w14:paraId="5432F4CA" w14:textId="77777777" w:rsidR="00A3536F" w:rsidRPr="00625570" w:rsidRDefault="00A3536F" w:rsidP="00F961E2">
            <w:pPr>
              <w:pStyle w:val="TableHeadingCentered"/>
              <w:keepNext/>
              <w:keepLines/>
              <w:cnfStyle w:val="100000000000" w:firstRow="1" w:lastRow="0" w:firstColumn="0" w:lastColumn="0" w:oddVBand="0" w:evenVBand="0" w:oddHBand="0" w:evenHBand="0" w:firstRowFirstColumn="0" w:firstRowLastColumn="0" w:lastRowFirstColumn="0" w:lastRowLastColumn="0"/>
            </w:pPr>
            <w:r>
              <w:t>Carbon Intensity Value (gCO</w:t>
            </w:r>
            <w:r w:rsidRPr="00FF1877">
              <w:rPr>
                <w:vertAlign w:val="subscript"/>
              </w:rPr>
              <w:t>2</w:t>
            </w:r>
            <w:r>
              <w:t>e/MJ)</w:t>
            </w:r>
          </w:p>
        </w:tc>
      </w:tr>
      <w:tr w:rsidR="00A3536F" w14:paraId="77073E79" w14:textId="77777777" w:rsidTr="00532859">
        <w:trPr>
          <w:cnfStyle w:val="100000000000" w:firstRow="1" w:lastRow="0" w:firstColumn="0" w:lastColumn="0" w:oddVBand="0" w:evenVBand="0" w:oddHBand="0" w:evenHBand="0" w:firstRowFirstColumn="0" w:firstRowLastColumn="0" w:lastRowFirstColumn="0" w:lastRowLastColumn="0"/>
          <w:cantSplit/>
          <w:trHeight w:val="340"/>
          <w:tblHeader/>
        </w:trPr>
        <w:tc>
          <w:tcPr>
            <w:cnfStyle w:val="001000000000" w:firstRow="0" w:lastRow="0" w:firstColumn="1" w:lastColumn="0" w:oddVBand="0" w:evenVBand="0" w:oddHBand="0" w:evenHBand="0" w:firstRowFirstColumn="0" w:firstRowLastColumn="0" w:lastRowFirstColumn="0" w:lastRowLastColumn="0"/>
            <w:tcW w:w="3900" w:type="dxa"/>
            <w:vMerge/>
            <w:tcBorders>
              <w:top w:val="single" w:sz="4" w:space="0" w:color="4A4D56" w:themeColor="text1"/>
              <w:right w:val="single" w:sz="4" w:space="0" w:color="4A4D56" w:themeColor="text1"/>
            </w:tcBorders>
          </w:tcPr>
          <w:p w14:paraId="2573DF68" w14:textId="77777777" w:rsidR="00A3536F" w:rsidRPr="00625570" w:rsidRDefault="00A3536F" w:rsidP="00F961E2">
            <w:pPr>
              <w:pStyle w:val="ODTable"/>
              <w:keepNext/>
              <w:keepLines/>
              <w:suppressAutoHyphens/>
              <w:ind w:left="72"/>
              <w:rPr>
                <w:sz w:val="18"/>
                <w:szCs w:val="18"/>
              </w:rPr>
            </w:pPr>
          </w:p>
        </w:tc>
        <w:tc>
          <w:tcPr>
            <w:tcW w:w="0" w:type="auto"/>
            <w:tcBorders>
              <w:top w:val="single" w:sz="4" w:space="0" w:color="4A4D56" w:themeColor="text1"/>
              <w:left w:val="single" w:sz="4" w:space="0" w:color="4A4D56" w:themeColor="text1"/>
              <w:right w:val="single" w:sz="4" w:space="0" w:color="4A4D56" w:themeColor="text1"/>
            </w:tcBorders>
          </w:tcPr>
          <w:p w14:paraId="694E71CB" w14:textId="77777777" w:rsidR="00A3536F" w:rsidRPr="00625570" w:rsidRDefault="00A3536F" w:rsidP="00F961E2">
            <w:pPr>
              <w:pStyle w:val="TableHeadingCentered"/>
              <w:keepNext/>
              <w:keepLines/>
              <w:cnfStyle w:val="100000000000" w:firstRow="1" w:lastRow="0" w:firstColumn="0" w:lastColumn="0" w:oddVBand="0" w:evenVBand="0" w:oddHBand="0" w:evenHBand="0" w:firstRowFirstColumn="0" w:firstRowLastColumn="0" w:lastRowFirstColumn="0" w:lastRowLastColumn="0"/>
              <w:rPr>
                <w:rFonts w:cs="Calibri"/>
              </w:rPr>
            </w:pPr>
            <w:r>
              <w:t>Combustion</w:t>
            </w:r>
          </w:p>
        </w:tc>
        <w:tc>
          <w:tcPr>
            <w:tcW w:w="0" w:type="auto"/>
            <w:tcBorders>
              <w:top w:val="single" w:sz="4" w:space="0" w:color="4A4D56" w:themeColor="text1"/>
              <w:left w:val="single" w:sz="4" w:space="0" w:color="4A4D56" w:themeColor="text1"/>
              <w:right w:val="single" w:sz="4" w:space="0" w:color="4A4D56" w:themeColor="text1"/>
            </w:tcBorders>
          </w:tcPr>
          <w:p w14:paraId="017070DC" w14:textId="77777777" w:rsidR="00A3536F" w:rsidRPr="00625570" w:rsidRDefault="00A3536F" w:rsidP="00F961E2">
            <w:pPr>
              <w:pStyle w:val="TableHeadingCentered"/>
              <w:keepNext/>
              <w:keepLines/>
              <w:cnfStyle w:val="100000000000" w:firstRow="1" w:lastRow="0" w:firstColumn="0" w:lastColumn="0" w:oddVBand="0" w:evenVBand="0" w:oddHBand="0" w:evenHBand="0" w:firstRowFirstColumn="0" w:firstRowLastColumn="0" w:lastRowFirstColumn="0" w:lastRowLastColumn="0"/>
            </w:pPr>
            <w:r>
              <w:t>Upstream</w:t>
            </w:r>
          </w:p>
        </w:tc>
        <w:tc>
          <w:tcPr>
            <w:tcW w:w="0" w:type="auto"/>
            <w:tcBorders>
              <w:top w:val="single" w:sz="4" w:space="0" w:color="4A4D56" w:themeColor="text1"/>
              <w:left w:val="single" w:sz="4" w:space="0" w:color="4A4D56" w:themeColor="text1"/>
              <w:right w:val="single" w:sz="4" w:space="0" w:color="4A4D56" w:themeColor="text1"/>
            </w:tcBorders>
          </w:tcPr>
          <w:p w14:paraId="51A661EA" w14:textId="77777777" w:rsidR="00A3536F" w:rsidRPr="00625570" w:rsidRDefault="00A3536F" w:rsidP="00F961E2">
            <w:pPr>
              <w:pStyle w:val="TableHeadingCentered"/>
              <w:keepNext/>
              <w:keepLines/>
              <w:cnfStyle w:val="100000000000" w:firstRow="1" w:lastRow="0" w:firstColumn="0" w:lastColumn="0" w:oddVBand="0" w:evenVBand="0" w:oddHBand="0" w:evenHBand="0" w:firstRowFirstColumn="0" w:firstRowLastColumn="0" w:lastRowFirstColumn="0" w:lastRowLastColumn="0"/>
            </w:pPr>
            <w:r>
              <w:t>Total</w:t>
            </w:r>
          </w:p>
        </w:tc>
      </w:tr>
      <w:tr w:rsidR="008E4050" w14:paraId="4F139432" w14:textId="77777777" w:rsidTr="008E4050">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3900" w:type="dxa"/>
          </w:tcPr>
          <w:p w14:paraId="6BF4A5E9" w14:textId="77777777" w:rsidR="008E4050" w:rsidRPr="001C50B5" w:rsidRDefault="008E4050" w:rsidP="008E4050">
            <w:pPr>
              <w:pStyle w:val="TableLeftText"/>
              <w:keepNext/>
              <w:keepLines/>
            </w:pPr>
            <w:r>
              <w:t>Wood chips</w:t>
            </w:r>
          </w:p>
        </w:tc>
        <w:tc>
          <w:tcPr>
            <w:tcW w:w="0" w:type="auto"/>
          </w:tcPr>
          <w:p w14:paraId="238DC286" w14:textId="3CF8333E" w:rsidR="008E4050" w:rsidRPr="00FA3A09" w:rsidRDefault="008E4050" w:rsidP="008E4050">
            <w:pPr>
              <w:pStyle w:val="TableCenterText"/>
              <w:keepNext/>
              <w:keepLines/>
              <w:cnfStyle w:val="000000100000" w:firstRow="0" w:lastRow="0" w:firstColumn="0" w:lastColumn="0" w:oddVBand="0" w:evenVBand="0" w:oddHBand="1" w:evenHBand="0" w:firstRowFirstColumn="0" w:firstRowLastColumn="0" w:lastRowFirstColumn="0" w:lastRowLastColumn="0"/>
            </w:pPr>
            <w:r w:rsidRPr="00A94EB4">
              <w:t>1.1</w:t>
            </w:r>
          </w:p>
        </w:tc>
        <w:tc>
          <w:tcPr>
            <w:tcW w:w="0" w:type="auto"/>
          </w:tcPr>
          <w:p w14:paraId="106C514B" w14:textId="18D2A29A" w:rsidR="008E4050" w:rsidRPr="00FA3A09" w:rsidRDefault="008E4050" w:rsidP="008E4050">
            <w:pPr>
              <w:pStyle w:val="TableCenterText"/>
              <w:keepNext/>
              <w:keepLines/>
              <w:cnfStyle w:val="000000100000" w:firstRow="0" w:lastRow="0" w:firstColumn="0" w:lastColumn="0" w:oddVBand="0" w:evenVBand="0" w:oddHBand="1" w:evenHBand="0" w:firstRowFirstColumn="0" w:firstRowLastColumn="0" w:lastRowFirstColumn="0" w:lastRowLastColumn="0"/>
            </w:pPr>
            <w:r w:rsidRPr="00A94EB4">
              <w:t>1.6</w:t>
            </w:r>
          </w:p>
        </w:tc>
        <w:tc>
          <w:tcPr>
            <w:tcW w:w="0" w:type="auto"/>
          </w:tcPr>
          <w:p w14:paraId="26777015" w14:textId="22AD28E7" w:rsidR="008E4050" w:rsidRPr="00FA3A09" w:rsidRDefault="008E4050" w:rsidP="008E4050">
            <w:pPr>
              <w:pStyle w:val="TableCenterText"/>
              <w:keepNext/>
              <w:keepLines/>
              <w:cnfStyle w:val="000000100000" w:firstRow="0" w:lastRow="0" w:firstColumn="0" w:lastColumn="0" w:oddVBand="0" w:evenVBand="0" w:oddHBand="1" w:evenHBand="0" w:firstRowFirstColumn="0" w:firstRowLastColumn="0" w:lastRowFirstColumn="0" w:lastRowLastColumn="0"/>
            </w:pPr>
            <w:r w:rsidRPr="00A94EB4">
              <w:t>2.7</w:t>
            </w:r>
          </w:p>
        </w:tc>
      </w:tr>
      <w:tr w:rsidR="008E4050" w14:paraId="519A6527" w14:textId="77777777" w:rsidTr="008E4050">
        <w:trPr>
          <w:cnfStyle w:val="000000010000" w:firstRow="0" w:lastRow="0" w:firstColumn="0" w:lastColumn="0" w:oddVBand="0" w:evenVBand="0" w:oddHBand="0" w:evenHBand="1"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3900" w:type="dxa"/>
          </w:tcPr>
          <w:p w14:paraId="3D290F57" w14:textId="77777777" w:rsidR="008E4050" w:rsidRPr="001C50B5" w:rsidRDefault="008E4050" w:rsidP="008E4050">
            <w:pPr>
              <w:pStyle w:val="TableLeftText"/>
              <w:keepNext/>
              <w:keepLines/>
            </w:pPr>
            <w:r>
              <w:t>Wood pellets</w:t>
            </w:r>
          </w:p>
        </w:tc>
        <w:tc>
          <w:tcPr>
            <w:tcW w:w="0" w:type="auto"/>
          </w:tcPr>
          <w:p w14:paraId="6B3E59E4" w14:textId="6A7E2179" w:rsidR="008E4050" w:rsidRPr="00FA3A09" w:rsidRDefault="008E4050" w:rsidP="008E4050">
            <w:pPr>
              <w:pStyle w:val="TableCenterText"/>
              <w:keepNext/>
              <w:keepLines/>
              <w:cnfStyle w:val="000000010000" w:firstRow="0" w:lastRow="0" w:firstColumn="0" w:lastColumn="0" w:oddVBand="0" w:evenVBand="0" w:oddHBand="0" w:evenHBand="1" w:firstRowFirstColumn="0" w:firstRowLastColumn="0" w:lastRowFirstColumn="0" w:lastRowLastColumn="0"/>
            </w:pPr>
            <w:r w:rsidRPr="00A94EB4">
              <w:t>1.1</w:t>
            </w:r>
          </w:p>
        </w:tc>
        <w:tc>
          <w:tcPr>
            <w:tcW w:w="0" w:type="auto"/>
          </w:tcPr>
          <w:p w14:paraId="520B5F23" w14:textId="03D70982" w:rsidR="008E4050" w:rsidRPr="00FA3A09" w:rsidRDefault="008E4050" w:rsidP="008E4050">
            <w:pPr>
              <w:pStyle w:val="TableCenterText"/>
              <w:keepNext/>
              <w:keepLines/>
              <w:cnfStyle w:val="000000010000" w:firstRow="0" w:lastRow="0" w:firstColumn="0" w:lastColumn="0" w:oddVBand="0" w:evenVBand="0" w:oddHBand="0" w:evenHBand="1" w:firstRowFirstColumn="0" w:firstRowLastColumn="0" w:lastRowFirstColumn="0" w:lastRowLastColumn="0"/>
            </w:pPr>
            <w:r w:rsidRPr="00A94EB4">
              <w:t>25.8</w:t>
            </w:r>
          </w:p>
        </w:tc>
        <w:tc>
          <w:tcPr>
            <w:tcW w:w="0" w:type="auto"/>
          </w:tcPr>
          <w:p w14:paraId="194D9D5B" w14:textId="3AD6BEAA" w:rsidR="008E4050" w:rsidRPr="00FA3A09" w:rsidRDefault="008E4050" w:rsidP="008E4050">
            <w:pPr>
              <w:pStyle w:val="TableCenterText"/>
              <w:keepNext/>
              <w:keepLines/>
              <w:cnfStyle w:val="000000010000" w:firstRow="0" w:lastRow="0" w:firstColumn="0" w:lastColumn="0" w:oddVBand="0" w:evenVBand="0" w:oddHBand="0" w:evenHBand="1" w:firstRowFirstColumn="0" w:firstRowLastColumn="0" w:lastRowFirstColumn="0" w:lastRowLastColumn="0"/>
            </w:pPr>
            <w:r w:rsidRPr="00A94EB4">
              <w:t>26.8</w:t>
            </w:r>
          </w:p>
        </w:tc>
      </w:tr>
      <w:tr w:rsidR="008E4050" w14:paraId="35829CD2" w14:textId="77777777" w:rsidTr="008E4050">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3900" w:type="dxa"/>
          </w:tcPr>
          <w:p w14:paraId="2B2772BE" w14:textId="77777777" w:rsidR="008E4050" w:rsidRPr="001C50B5" w:rsidRDefault="008E4050" w:rsidP="008E4050">
            <w:pPr>
              <w:pStyle w:val="TableLeftText"/>
              <w:keepNext/>
              <w:keepLines/>
            </w:pPr>
            <w:r>
              <w:t>Firewood, commercial</w:t>
            </w:r>
          </w:p>
        </w:tc>
        <w:tc>
          <w:tcPr>
            <w:tcW w:w="0" w:type="auto"/>
          </w:tcPr>
          <w:p w14:paraId="2369BA3E" w14:textId="268B1C88" w:rsidR="008E4050" w:rsidRPr="00FA3A09" w:rsidRDefault="008E4050" w:rsidP="008E4050">
            <w:pPr>
              <w:pStyle w:val="TableCenterText"/>
              <w:keepNext/>
              <w:keepLines/>
              <w:cnfStyle w:val="000000100000" w:firstRow="0" w:lastRow="0" w:firstColumn="0" w:lastColumn="0" w:oddVBand="0" w:evenVBand="0" w:oddHBand="1" w:evenHBand="0" w:firstRowFirstColumn="0" w:firstRowLastColumn="0" w:lastRowFirstColumn="0" w:lastRowLastColumn="0"/>
            </w:pPr>
            <w:r w:rsidRPr="00A94EB4">
              <w:t>67.8</w:t>
            </w:r>
          </w:p>
        </w:tc>
        <w:tc>
          <w:tcPr>
            <w:tcW w:w="0" w:type="auto"/>
          </w:tcPr>
          <w:p w14:paraId="2A1AA07C" w14:textId="41D26200" w:rsidR="008E4050" w:rsidRPr="00FA3A09" w:rsidRDefault="008E4050" w:rsidP="008E4050">
            <w:pPr>
              <w:pStyle w:val="TableCenterText"/>
              <w:keepNext/>
              <w:keepLines/>
              <w:cnfStyle w:val="000000100000" w:firstRow="0" w:lastRow="0" w:firstColumn="0" w:lastColumn="0" w:oddVBand="0" w:evenVBand="0" w:oddHBand="1" w:evenHBand="0" w:firstRowFirstColumn="0" w:firstRowLastColumn="0" w:lastRowFirstColumn="0" w:lastRowLastColumn="0"/>
            </w:pPr>
            <w:r w:rsidRPr="00A94EB4">
              <w:t>2.3</w:t>
            </w:r>
          </w:p>
        </w:tc>
        <w:tc>
          <w:tcPr>
            <w:tcW w:w="0" w:type="auto"/>
          </w:tcPr>
          <w:p w14:paraId="5A8B8538" w14:textId="76012BFD" w:rsidR="008E4050" w:rsidRPr="00FA3A09" w:rsidRDefault="008E4050" w:rsidP="008E4050">
            <w:pPr>
              <w:pStyle w:val="TableCenterText"/>
              <w:keepNext/>
              <w:keepLines/>
              <w:cnfStyle w:val="000000100000" w:firstRow="0" w:lastRow="0" w:firstColumn="0" w:lastColumn="0" w:oddVBand="0" w:evenVBand="0" w:oddHBand="1" w:evenHBand="0" w:firstRowFirstColumn="0" w:firstRowLastColumn="0" w:lastRowFirstColumn="0" w:lastRowLastColumn="0"/>
            </w:pPr>
            <w:r w:rsidRPr="00A94EB4">
              <w:t>70.1</w:t>
            </w:r>
          </w:p>
        </w:tc>
      </w:tr>
    </w:tbl>
    <w:p w14:paraId="5566DFF7" w14:textId="56CAF386" w:rsidR="00A3536F" w:rsidRPr="00883175" w:rsidRDefault="00A3536F" w:rsidP="00F961E2">
      <w:pPr>
        <w:keepNext/>
        <w:keepLines/>
        <w:spacing w:after="0"/>
        <w:ind w:left="2070" w:right="2016"/>
        <w:rPr>
          <w:i/>
          <w:iCs/>
          <w:sz w:val="18"/>
          <w:szCs w:val="18"/>
        </w:rPr>
      </w:pPr>
      <w:r w:rsidRPr="00883175">
        <w:rPr>
          <w:i/>
          <w:iCs/>
          <w:sz w:val="18"/>
          <w:szCs w:val="18"/>
        </w:rPr>
        <w:t>Source:</w:t>
      </w:r>
      <w:r>
        <w:rPr>
          <w:i/>
          <w:iCs/>
          <w:sz w:val="18"/>
          <w:szCs w:val="18"/>
        </w:rPr>
        <w:t xml:space="preserve"> Opinion Dynamics analysis referencing GREET1 2023rev1, Vermont Energy Sector Life Cycle Assessment report, and U.S. EPA 2024 GHG Emissions Factors Hub.</w:t>
      </w:r>
      <w:r w:rsidR="008E4050">
        <w:rPr>
          <w:i/>
          <w:iCs/>
          <w:sz w:val="18"/>
          <w:szCs w:val="18"/>
        </w:rPr>
        <w:t xml:space="preserve"> Numbers may not add due to rounding.</w:t>
      </w:r>
    </w:p>
    <w:p w14:paraId="62F4D134" w14:textId="701D7E27" w:rsidR="00FF1877" w:rsidRDefault="00FF1877" w:rsidP="00607105">
      <w:pPr>
        <w:pStyle w:val="Heading4"/>
        <w:keepNext/>
        <w:keepLines/>
      </w:pPr>
      <w:r>
        <w:t>Request for TAG Feedback</w:t>
      </w:r>
    </w:p>
    <w:p w14:paraId="47A403BE" w14:textId="0397A082" w:rsidR="00607105" w:rsidRPr="005529E5" w:rsidRDefault="00607105" w:rsidP="00F961E2">
      <w:pPr>
        <w:keepNext/>
        <w:keepLines/>
      </w:pPr>
      <w:proofErr w:type="gramStart"/>
      <w:r>
        <w:t>In light of</w:t>
      </w:r>
      <w:proofErr w:type="gramEnd"/>
      <w:r>
        <w:t xml:space="preserve"> the comments received to date from members of the TAG as well as members of the public, we are requesting that the TAG provide direct guidance on the approach that should be taken for lifecycle analysis of wood fuels. Specifically, we request that the TAG provide its position on how </w:t>
      </w:r>
      <w:r w:rsidR="00F961E2">
        <w:t xml:space="preserve">lifecycle </w:t>
      </w:r>
      <w:r>
        <w:t>accounting for wood fuels should be completed</w:t>
      </w:r>
      <w:r w:rsidR="00F961E2">
        <w:t>, including any response to the proposed revised approach we share above.</w:t>
      </w:r>
    </w:p>
    <w:sectPr w:rsidR="00607105" w:rsidRPr="005529E5" w:rsidSect="005F02B5">
      <w:headerReference w:type="default" r:id="rId15"/>
      <w:footerReference w:type="default" r:id="rId16"/>
      <w:type w:val="continuous"/>
      <w:pgSz w:w="12240" w:h="15840" w:code="1"/>
      <w:pgMar w:top="567" w:right="567" w:bottom="567" w:left="567" w:header="567" w:footer="34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Kevin Ketchman" w:date="2024-10-09T15:14:00Z" w:initials="KK">
    <w:p w14:paraId="4919D4BC" w14:textId="77777777" w:rsidR="008E4050" w:rsidRDefault="008E4050" w:rsidP="008E4050">
      <w:pPr>
        <w:pStyle w:val="CommentText"/>
      </w:pPr>
      <w:r>
        <w:rPr>
          <w:rStyle w:val="CommentReference"/>
        </w:rPr>
        <w:annotationRef/>
      </w:r>
      <w:r>
        <w:t>by-product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919D4B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BD727A5" w16cex:dateUtc="2024-10-09T19: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919D4BC" w16cid:durableId="2BD727A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ADA958" w14:textId="77777777" w:rsidR="00724033" w:rsidRDefault="00724033">
      <w:pPr>
        <w:spacing w:after="0" w:line="240" w:lineRule="auto"/>
      </w:pPr>
      <w:r>
        <w:separator/>
      </w:r>
    </w:p>
    <w:p w14:paraId="404658A1" w14:textId="77777777" w:rsidR="00724033" w:rsidRDefault="00724033"/>
  </w:endnote>
  <w:endnote w:type="continuationSeparator" w:id="0">
    <w:p w14:paraId="02F6F0C5" w14:textId="77777777" w:rsidR="00724033" w:rsidRDefault="00724033">
      <w:pPr>
        <w:spacing w:after="0" w:line="240" w:lineRule="auto"/>
      </w:pPr>
      <w:r>
        <w:continuationSeparator/>
      </w:r>
    </w:p>
    <w:p w14:paraId="567F61A0" w14:textId="77777777" w:rsidR="00724033" w:rsidRDefault="007240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Rift Soft">
    <w:panose1 w:val="00000500000000000000"/>
    <w:charset w:val="00"/>
    <w:family w:val="modern"/>
    <w:notTrueType/>
    <w:pitch w:val="variable"/>
    <w:sig w:usb0="00000007" w:usb1="00000000" w:usb2="00000000" w:usb3="00000000" w:csb0="00000093" w:csb1="00000000"/>
  </w:font>
  <w:font w:name="Franklin Gothic Book">
    <w:panose1 w:val="020B0503020102020204"/>
    <w:charset w:val="00"/>
    <w:family w:val="swiss"/>
    <w:pitch w:val="variable"/>
    <w:sig w:usb0="00000287" w:usb1="00000000" w:usb2="00000000" w:usb3="00000000" w:csb0="0000009F" w:csb1="00000000"/>
  </w:font>
  <w:font w:name="Rift Soft Medium">
    <w:panose1 w:val="00000600000000000000"/>
    <w:charset w:val="00"/>
    <w:family w:val="modern"/>
    <w:notTrueType/>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Demi">
    <w:panose1 w:val="020B07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ODExcelPlaceholder"/>
      <w:tblW w:w="0" w:type="auto"/>
      <w:tblLayout w:type="fixed"/>
      <w:tblLook w:val="04A0" w:firstRow="1" w:lastRow="0" w:firstColumn="1" w:lastColumn="0" w:noHBand="0" w:noVBand="1"/>
    </w:tblPr>
    <w:tblGrid>
      <w:gridCol w:w="5548"/>
      <w:gridCol w:w="5548"/>
    </w:tblGrid>
    <w:tr w:rsidR="007C320D" w14:paraId="577C8183" w14:textId="77777777" w:rsidTr="008420AC">
      <w:trPr>
        <w:cnfStyle w:val="100000000000" w:firstRow="1" w:lastRow="0" w:firstColumn="0" w:lastColumn="0" w:oddVBand="0" w:evenVBand="0" w:oddHBand="0" w:evenHBand="0" w:firstRowFirstColumn="0" w:firstRowLastColumn="0" w:lastRowFirstColumn="0" w:lastRowLastColumn="0"/>
      </w:trPr>
      <w:tc>
        <w:tcPr>
          <w:tcW w:w="5548" w:type="dxa"/>
        </w:tcPr>
        <w:p w14:paraId="5EBD1073" w14:textId="77777777" w:rsidR="0040139D" w:rsidRPr="00EF048B" w:rsidRDefault="000D4AB9" w:rsidP="001F322C">
          <w:r w:rsidRPr="00CB54CF">
            <w:t>Opinion Dynamics</w:t>
          </w:r>
        </w:p>
      </w:tc>
      <w:tc>
        <w:tcPr>
          <w:tcW w:w="5548" w:type="dxa"/>
        </w:tcPr>
        <w:p w14:paraId="162D0098" w14:textId="77777777" w:rsidR="0040139D" w:rsidRPr="00EF048B" w:rsidRDefault="000D4AB9" w:rsidP="001F322C">
          <w:r w:rsidRPr="00CB54CF">
            <w:t xml:space="preserve">| </w:t>
          </w:r>
          <w:r w:rsidRPr="00CB54CF">
            <w:fldChar w:fldCharType="begin"/>
          </w:r>
          <w:r w:rsidRPr="00CB54CF">
            <w:instrText xml:space="preserve"> PAGE   \* MERGEFORMAT </w:instrText>
          </w:r>
          <w:r w:rsidRPr="00CB54CF">
            <w:fldChar w:fldCharType="separate"/>
          </w:r>
          <w:r w:rsidRPr="00CB54CF">
            <w:t>1</w:t>
          </w:r>
          <w:r w:rsidRPr="00CB54CF">
            <w:fldChar w:fldCharType="end"/>
          </w:r>
        </w:p>
      </w:tc>
    </w:tr>
  </w:tbl>
  <w:p w14:paraId="5E816491" w14:textId="77777777" w:rsidR="0040139D" w:rsidRDefault="0040139D" w:rsidP="001F322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ODExcelPlaceholde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5548"/>
      <w:gridCol w:w="5548"/>
    </w:tblGrid>
    <w:tr w:rsidR="007C320D" w14:paraId="572277CA" w14:textId="77777777" w:rsidTr="00444BBD">
      <w:trPr>
        <w:cnfStyle w:val="100000000000" w:firstRow="1" w:lastRow="0" w:firstColumn="0" w:lastColumn="0" w:oddVBand="0" w:evenVBand="0" w:oddHBand="0" w:evenHBand="0" w:firstRowFirstColumn="0" w:firstRowLastColumn="0" w:lastRowFirstColumn="0" w:lastRowLastColumn="0"/>
      </w:trPr>
      <w:tc>
        <w:tcPr>
          <w:tcW w:w="5548" w:type="dxa"/>
        </w:tcPr>
        <w:p w14:paraId="190A0C6F" w14:textId="77777777" w:rsidR="00BD573A" w:rsidRPr="00EF048B" w:rsidRDefault="000D4AB9" w:rsidP="00A02BBA">
          <w:pPr>
            <w:pStyle w:val="Footer"/>
            <w:jc w:val="left"/>
          </w:pPr>
          <w:r w:rsidRPr="00CB54CF">
            <w:t>Opinion Dynamics</w:t>
          </w:r>
        </w:p>
      </w:tc>
      <w:tc>
        <w:tcPr>
          <w:tcW w:w="5548" w:type="dxa"/>
        </w:tcPr>
        <w:p w14:paraId="318BB16D" w14:textId="77777777" w:rsidR="00BD573A" w:rsidRPr="00EF048B" w:rsidRDefault="000D4AB9" w:rsidP="00A02BBA">
          <w:pPr>
            <w:pStyle w:val="Footer"/>
            <w:jc w:val="right"/>
          </w:pPr>
          <w:r w:rsidRPr="00CB54CF">
            <w:fldChar w:fldCharType="begin"/>
          </w:r>
          <w:r w:rsidRPr="00CB54CF">
            <w:instrText xml:space="preserve"> PAGE   \* MERGEFORMAT </w:instrText>
          </w:r>
          <w:r w:rsidRPr="00CB54CF">
            <w:fldChar w:fldCharType="separate"/>
          </w:r>
          <w:r w:rsidRPr="00CB54CF">
            <w:t>1</w:t>
          </w:r>
          <w:r w:rsidRPr="00CB54CF">
            <w:fldChar w:fldCharType="end"/>
          </w:r>
        </w:p>
      </w:tc>
    </w:tr>
  </w:tbl>
  <w:p w14:paraId="605A6E60" w14:textId="77777777" w:rsidR="00E842FE" w:rsidRPr="00BD573A" w:rsidRDefault="00E842FE" w:rsidP="00BD573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683D24" w14:textId="77777777" w:rsidR="00724033" w:rsidRDefault="00724033">
      <w:pPr>
        <w:spacing w:after="0" w:line="240" w:lineRule="auto"/>
      </w:pPr>
      <w:r>
        <w:separator/>
      </w:r>
    </w:p>
  </w:footnote>
  <w:footnote w:type="continuationSeparator" w:id="0">
    <w:p w14:paraId="54C937DE" w14:textId="77777777" w:rsidR="00724033" w:rsidRDefault="00724033">
      <w:pPr>
        <w:spacing w:after="0" w:line="240" w:lineRule="auto"/>
      </w:pPr>
      <w:r>
        <w:continuationSeparator/>
      </w:r>
    </w:p>
    <w:p w14:paraId="46710FAC" w14:textId="77777777" w:rsidR="00724033" w:rsidRDefault="00724033"/>
  </w:footnote>
  <w:footnote w:id="1">
    <w:p w14:paraId="261694E5" w14:textId="77777777" w:rsidR="00FF1877" w:rsidRDefault="00FF1877" w:rsidP="00FF1877">
      <w:pPr>
        <w:pStyle w:val="FootnoteText"/>
      </w:pPr>
      <w:r>
        <w:rPr>
          <w:rStyle w:val="FootnoteReference"/>
        </w:rPr>
        <w:footnoteRef/>
      </w:r>
      <w:r>
        <w:t xml:space="preserve"> </w:t>
      </w:r>
      <w:r w:rsidRPr="00A11AE3">
        <w:t>Eastern Research Group, Inc.</w:t>
      </w:r>
      <w:r>
        <w:t xml:space="preserve"> (2024). </w:t>
      </w:r>
      <w:r w:rsidRPr="00A11AE3">
        <w:t>Vermont Energy Sector Life Cycle Assessment</w:t>
      </w:r>
      <w:r>
        <w:t>. Prepared for the VT Agency of Natural Resources. April 30, 2024.</w:t>
      </w:r>
    </w:p>
  </w:footnote>
  <w:footnote w:id="2">
    <w:p w14:paraId="4B5ADD92" w14:textId="77777777" w:rsidR="00FF1877" w:rsidRDefault="00FF1877" w:rsidP="00FF1877">
      <w:pPr>
        <w:pStyle w:val="FootnoteText"/>
      </w:pPr>
      <w:r>
        <w:rPr>
          <w:rStyle w:val="FootnoteReference"/>
        </w:rPr>
        <w:footnoteRef/>
      </w:r>
      <w:r>
        <w:t xml:space="preserve"> Ibid.</w:t>
      </w:r>
    </w:p>
  </w:footnote>
  <w:footnote w:id="3">
    <w:p w14:paraId="77F315B5" w14:textId="77777777" w:rsidR="00FF1877" w:rsidRDefault="00FF1877" w:rsidP="00FF1877">
      <w:pPr>
        <w:pStyle w:val="FootnoteText"/>
      </w:pPr>
      <w:r>
        <w:rPr>
          <w:rStyle w:val="FootnoteReference"/>
        </w:rPr>
        <w:footnoteRef/>
      </w:r>
      <w:r>
        <w:t xml:space="preserve"> U.S. Environmental Protection Agency (2024). 2024 GHG Emissions Factors Hub. Accessed at: </w:t>
      </w:r>
      <w:hyperlink r:id="rId1" w:history="1">
        <w:r w:rsidRPr="00FA39E3">
          <w:rPr>
            <w:rStyle w:val="Hyperlink"/>
            <w:rFonts w:ascii="Franklin Gothic Book" w:hAnsi="Franklin Gothic Book"/>
            <w:noProof w:val="0"/>
            <w:sz w:val="18"/>
          </w:rPr>
          <w:t>https://www.epa.gov/climateleadership/ghg-emission-factors-hub</w:t>
        </w:r>
      </w:hyperlink>
    </w:p>
  </w:footnote>
  <w:footnote w:id="4">
    <w:p w14:paraId="4394C1A1" w14:textId="77777777" w:rsidR="00FF1877" w:rsidRDefault="00FF1877" w:rsidP="00FF1877">
      <w:pPr>
        <w:pStyle w:val="FootnoteText"/>
      </w:pPr>
      <w:r>
        <w:rPr>
          <w:rStyle w:val="FootnoteReference"/>
        </w:rPr>
        <w:footnoteRef/>
      </w:r>
      <w:r>
        <w:t xml:space="preserve"> Vermont Agency of Natural Resources (2024). Vermont Greenhouse Gas Emissions Inventory and Forecast: Methodologies. Accessed at: </w:t>
      </w:r>
      <w:hyperlink r:id="rId2" w:history="1">
        <w:r w:rsidRPr="00A24A38">
          <w:rPr>
            <w:rStyle w:val="Hyperlink"/>
            <w:rFonts w:ascii="Franklin Gothic Book" w:hAnsi="Franklin Gothic Book"/>
            <w:noProof w:val="0"/>
            <w:sz w:val="18"/>
          </w:rPr>
          <w:t>https://outside.vermont.gov/agency/anr/climatecouncil/Shared%20Documents/1990-2021_GHG_Inventory_Uploads/_Methodology_Vermont_Greenhouse_Gas_Emissions_Inventory_1990-2021_Final.pdf</w:t>
        </w:r>
      </w:hyperlink>
      <w:r>
        <w:t xml:space="preserve"> </w:t>
      </w:r>
    </w:p>
  </w:footnote>
  <w:footnote w:id="5">
    <w:p w14:paraId="080DDA57" w14:textId="16428F75" w:rsidR="00607105" w:rsidRPr="00607105" w:rsidRDefault="00607105">
      <w:pPr>
        <w:pStyle w:val="FootnoteText"/>
      </w:pPr>
      <w:r>
        <w:rPr>
          <w:rStyle w:val="FootnoteReference"/>
        </w:rPr>
        <w:footnoteRef/>
      </w:r>
      <w:r>
        <w:t xml:space="preserve"> </w:t>
      </w:r>
      <w:proofErr w:type="spellStart"/>
      <w:r>
        <w:t>GWP</w:t>
      </w:r>
      <w:r>
        <w:rPr>
          <w:vertAlign w:val="subscript"/>
        </w:rPr>
        <w:t>bio</w:t>
      </w:r>
      <w:proofErr w:type="spellEnd"/>
      <w:r>
        <w:t xml:space="preserve"> </w:t>
      </w:r>
      <w:r w:rsidR="00FD102C">
        <w:t>is a global warming potential factor for biogenic carbon</w:t>
      </w:r>
    </w:p>
  </w:footnote>
  <w:footnote w:id="6">
    <w:p w14:paraId="3CD52783" w14:textId="77777777" w:rsidR="00FF1877" w:rsidRDefault="00FF1877" w:rsidP="00FF1877">
      <w:pPr>
        <w:pStyle w:val="FootnoteText"/>
      </w:pPr>
      <w:r>
        <w:rPr>
          <w:rStyle w:val="FootnoteReference"/>
        </w:rPr>
        <w:footnoteRef/>
      </w:r>
      <w:r>
        <w:t xml:space="preserve"> Our analysis assumed an equal share of spruce and pine woods from a cool temperate region. The </w:t>
      </w:r>
      <w:proofErr w:type="spellStart"/>
      <w:r>
        <w:t>GWP</w:t>
      </w:r>
      <w:r w:rsidRPr="00BF11F3">
        <w:rPr>
          <w:vertAlign w:val="subscript"/>
        </w:rPr>
        <w:t>bio</w:t>
      </w:r>
      <w:proofErr w:type="spellEnd"/>
      <w:r>
        <w:t xml:space="preserve"> tool can be found at: </w:t>
      </w:r>
      <w:hyperlink r:id="rId3" w:history="1">
        <w:r w:rsidRPr="009A44D7">
          <w:rPr>
            <w:rStyle w:val="Hyperlink"/>
            <w:rFonts w:ascii="Franklin Gothic Book" w:hAnsi="Franklin Gothic Book"/>
            <w:noProof w:val="0"/>
            <w:sz w:val="18"/>
          </w:rPr>
          <w:t>https://files.worldwildlife.org/wwfcmsprod/misc/climate_forest/Biogenic_Carbon_Footprint_Calculator_2020.xlsx</w:t>
        </w:r>
      </w:hyperlink>
      <w:r>
        <w:t xml:space="preserve"> </w:t>
      </w:r>
    </w:p>
  </w:footnote>
  <w:footnote w:id="7">
    <w:p w14:paraId="5859A740" w14:textId="77777777" w:rsidR="00FF1877" w:rsidRDefault="00FF1877" w:rsidP="00FF1877">
      <w:pPr>
        <w:pStyle w:val="FootnoteText"/>
      </w:pPr>
      <w:r>
        <w:rPr>
          <w:rStyle w:val="FootnoteReference"/>
        </w:rPr>
        <w:footnoteRef/>
      </w:r>
      <w:r>
        <w:t xml:space="preserve"> </w:t>
      </w:r>
      <w:r w:rsidRPr="00A11AE3">
        <w:t>Eastern Research Group, Inc.</w:t>
      </w:r>
      <w:r>
        <w:t xml:space="preserve"> (2024). </w:t>
      </w:r>
      <w:r w:rsidRPr="00A11AE3">
        <w:t>Vermont Energy Sector Life Cycle Assessment</w:t>
      </w:r>
      <w:r>
        <w:t>. Prepared for the VT Agency of Natural Resources. April 30, 2024.</w:t>
      </w:r>
    </w:p>
  </w:footnote>
  <w:footnote w:id="8">
    <w:p w14:paraId="6ACD387F" w14:textId="7D81B248" w:rsidR="00B52C98" w:rsidRDefault="00B52C98">
      <w:pPr>
        <w:pStyle w:val="FootnoteText"/>
      </w:pPr>
      <w:r>
        <w:rPr>
          <w:rStyle w:val="FootnoteReference"/>
        </w:rPr>
        <w:footnoteRef/>
      </w:r>
      <w:r>
        <w:t xml:space="preserve"> </w:t>
      </w:r>
      <w:r w:rsidRPr="00B52C98">
        <w:t xml:space="preserve">The </w:t>
      </w:r>
      <w:proofErr w:type="spellStart"/>
      <w:r w:rsidRPr="00B52C98">
        <w:t>GWPbio</w:t>
      </w:r>
      <w:proofErr w:type="spellEnd"/>
      <w:r w:rsidRPr="00B52C98">
        <w:t xml:space="preserve"> tool can be found at: </w:t>
      </w:r>
      <w:hyperlink r:id="rId4" w:history="1">
        <w:r w:rsidRPr="001F5026">
          <w:rPr>
            <w:rStyle w:val="Hyperlink"/>
            <w:rFonts w:ascii="Franklin Gothic Book" w:hAnsi="Franklin Gothic Book"/>
            <w:noProof w:val="0"/>
            <w:sz w:val="18"/>
          </w:rPr>
          <w:t>https://files.worldwildlife.org/wwfcmsprod/misc/climate_forest/Biogenic_Carbon_Footprint_Calculator_2020.xlsx</w:t>
        </w:r>
      </w:hyperlink>
      <w:r>
        <w:t xml:space="preserve"> </w:t>
      </w:r>
    </w:p>
  </w:footnote>
  <w:footnote w:id="9">
    <w:p w14:paraId="579D4B94" w14:textId="410FDDAF" w:rsidR="00084B70" w:rsidRDefault="00084B70">
      <w:pPr>
        <w:pStyle w:val="FootnoteText"/>
      </w:pPr>
      <w:r>
        <w:rPr>
          <w:rStyle w:val="FootnoteReference"/>
        </w:rPr>
        <w:footnoteRef/>
      </w:r>
      <w:r>
        <w:t xml:space="preserve"> </w:t>
      </w:r>
      <w:r w:rsidRPr="00084B70">
        <w:t>Public Sector Consultants and Paul Frederick. 2020. Forest Products Industries’ Economic Contributions: Vermont</w:t>
      </w:r>
      <w:r>
        <w:t xml:space="preserve">. Accessed at: </w:t>
      </w:r>
      <w:hyperlink r:id="rId5" w:history="1">
        <w:r w:rsidRPr="001F5026">
          <w:rPr>
            <w:rStyle w:val="Hyperlink"/>
            <w:rFonts w:ascii="Franklin Gothic Book" w:hAnsi="Franklin Gothic Book"/>
            <w:noProof w:val="0"/>
            <w:sz w:val="18"/>
          </w:rPr>
          <w:t>https://fpr.vermont.gov/sites/fpr/files/documents/2017%20Forest%20and%20Wood%20Products%20Industries%20Economic%20Contributions.pdf</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654957" w14:textId="77777777" w:rsidR="0040139D" w:rsidRDefault="000D4AB9" w:rsidP="00AE2204">
    <w:r>
      <w:rPr>
        <w:noProof/>
      </w:rPr>
      <w:drawing>
        <wp:anchor distT="0" distB="0" distL="114300" distR="114300" simplePos="0" relativeHeight="251659264" behindDoc="0" locked="1" layoutInCell="1" allowOverlap="1" wp14:anchorId="4E98CD42" wp14:editId="57073491">
          <wp:simplePos x="0" y="0"/>
          <wp:positionH relativeFrom="page">
            <wp:posOffset>0</wp:posOffset>
          </wp:positionH>
          <wp:positionV relativeFrom="page">
            <wp:posOffset>0</wp:posOffset>
          </wp:positionV>
          <wp:extent cx="7896225" cy="266700"/>
          <wp:effectExtent l="0" t="0" r="9525" b="0"/>
          <wp:wrapThrough wrapText="bothSides">
            <wp:wrapPolygon edited="0">
              <wp:start x="0" y="0"/>
              <wp:lineTo x="0" y="20057"/>
              <wp:lineTo x="21574" y="20057"/>
              <wp:lineTo x="21574" y="0"/>
              <wp:lineTo x="0" y="0"/>
            </wp:wrapPolygon>
          </wp:wrapThrough>
          <wp:docPr id="230441103" name="Picture 230441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441103"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7896225" cy="2667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D3387" w14:textId="77777777" w:rsidR="00E842FE" w:rsidRDefault="000D4AB9">
    <w:r>
      <w:rPr>
        <w:noProof/>
      </w:rPr>
      <w:drawing>
        <wp:anchor distT="0" distB="0" distL="114300" distR="114300" simplePos="0" relativeHeight="251658240" behindDoc="0" locked="1" layoutInCell="1" allowOverlap="1" wp14:anchorId="4A78857A" wp14:editId="0CA57B41">
          <wp:simplePos x="0" y="0"/>
          <wp:positionH relativeFrom="page">
            <wp:posOffset>0</wp:posOffset>
          </wp:positionH>
          <wp:positionV relativeFrom="page">
            <wp:posOffset>0</wp:posOffset>
          </wp:positionV>
          <wp:extent cx="7896225" cy="266700"/>
          <wp:effectExtent l="0" t="0" r="9525" b="0"/>
          <wp:wrapThrough wrapText="bothSides">
            <wp:wrapPolygon edited="0">
              <wp:start x="0" y="0"/>
              <wp:lineTo x="0" y="20057"/>
              <wp:lineTo x="21574" y="20057"/>
              <wp:lineTo x="21574" y="0"/>
              <wp:lineTo x="0" y="0"/>
            </wp:wrapPolygon>
          </wp:wrapThrough>
          <wp:docPr id="981587770" name="Picture 981587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587770"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7896225" cy="2667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95BA9576"/>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B0B0D94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75F80716"/>
    <w:lvl w:ilvl="0">
      <w:start w:val="1"/>
      <w:numFmt w:val="bullet"/>
      <w:pStyle w:val="Bullet1"/>
      <w:lvlText w:val=""/>
      <w:lvlJc w:val="left"/>
      <w:pPr>
        <w:ind w:left="720" w:hanging="360"/>
      </w:pPr>
      <w:rPr>
        <w:rFonts w:ascii="Wingdings" w:hAnsi="Wingdings" w:hint="default"/>
        <w:color w:val="053572"/>
        <w:sz w:val="22"/>
      </w:rPr>
    </w:lvl>
    <w:lvl w:ilvl="1">
      <w:start w:val="1"/>
      <w:numFmt w:val="bullet"/>
      <w:lvlText w:val=""/>
      <w:lvlJc w:val="left"/>
      <w:pPr>
        <w:ind w:left="1080" w:hanging="360"/>
      </w:pPr>
      <w:rPr>
        <w:rFonts w:ascii="Wingdings" w:hAnsi="Wingdings" w:hint="default"/>
        <w:color w:val="1295D8"/>
        <w:sz w:val="22"/>
      </w:rPr>
    </w:lvl>
    <w:lvl w:ilvl="2">
      <w:start w:val="1"/>
      <w:numFmt w:val="bullet"/>
      <w:lvlRestart w:val="0"/>
      <w:lvlText w:val=""/>
      <w:lvlJc w:val="left"/>
      <w:pPr>
        <w:tabs>
          <w:tab w:val="num" w:pos="1080"/>
        </w:tabs>
        <w:ind w:left="1440" w:hanging="360"/>
      </w:pPr>
      <w:rPr>
        <w:rFonts w:ascii="Wingdings" w:hAnsi="Wingdings" w:hint="default"/>
        <w:color w:val="4D4D4F"/>
        <w:sz w:val="22"/>
      </w:rPr>
    </w:lvl>
    <w:lvl w:ilvl="3">
      <w:start w:val="1"/>
      <w:numFmt w:val="bullet"/>
      <w:lvlText w:val=""/>
      <w:lvlJc w:val="left"/>
      <w:pPr>
        <w:ind w:left="2160" w:hanging="432"/>
      </w:pPr>
      <w:rPr>
        <w:rFonts w:ascii="Wingdings" w:hAnsi="Wingdings" w:cs="Times New Roman" w:hint="default"/>
        <w:b w:val="0"/>
        <w:bCs w:val="0"/>
        <w:i w:val="0"/>
        <w:iCs w:val="0"/>
        <w:caps w:val="0"/>
        <w:smallCaps w:val="0"/>
        <w:strike w:val="0"/>
        <w:dstrike w:val="0"/>
        <w:noProof w:val="0"/>
        <w:vanish w:val="0"/>
        <w:color w:val="0069B6"/>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3600" w:hanging="360"/>
      </w:pPr>
      <w:rPr>
        <w:rFonts w:ascii="Wingdings" w:hAnsi="Wingdings" w:hint="default"/>
        <w:color w:val="64B3E8"/>
      </w:rPr>
    </w:lvl>
    <w:lvl w:ilvl="5">
      <w:start w:val="1"/>
      <w:numFmt w:val="bullet"/>
      <w:lvlText w:val=""/>
      <w:lvlJc w:val="left"/>
      <w:pPr>
        <w:ind w:left="4320" w:hanging="360"/>
      </w:pPr>
      <w:rPr>
        <w:rFonts w:ascii="Wingdings" w:hAnsi="Wingdings" w:hint="default"/>
        <w:color w:val="696969"/>
      </w:rPr>
    </w:lvl>
    <w:lvl w:ilvl="6">
      <w:start w:val="1"/>
      <w:numFmt w:val="bullet"/>
      <w:lvlText w:val=""/>
      <w:lvlJc w:val="left"/>
      <w:pPr>
        <w:ind w:left="5040" w:hanging="360"/>
      </w:pPr>
      <w:rPr>
        <w:rFonts w:ascii="Wingdings" w:hAnsi="Wingdings" w:hint="default"/>
        <w:color w:val="172B54" w:themeColor="accent1"/>
      </w:rPr>
    </w:lvl>
    <w:lvl w:ilvl="7">
      <w:start w:val="1"/>
      <w:numFmt w:val="bullet"/>
      <w:lvlText w:val=""/>
      <w:lvlJc w:val="left"/>
      <w:pPr>
        <w:ind w:left="5760" w:hanging="360"/>
      </w:pPr>
      <w:rPr>
        <w:rFonts w:ascii="Wingdings" w:hAnsi="Wingdings" w:hint="default"/>
        <w:color w:val="265EAC" w:themeColor="accent2"/>
      </w:rPr>
    </w:lvl>
    <w:lvl w:ilvl="8">
      <w:start w:val="1"/>
      <w:numFmt w:val="bullet"/>
      <w:lvlText w:val=""/>
      <w:lvlJc w:val="left"/>
      <w:pPr>
        <w:ind w:left="6480" w:hanging="360"/>
      </w:pPr>
      <w:rPr>
        <w:rFonts w:ascii="Wingdings" w:hAnsi="Wingdings" w:hint="default"/>
        <w:color w:val="1FA9E1" w:themeColor="accent3"/>
      </w:rPr>
    </w:lvl>
  </w:abstractNum>
  <w:abstractNum w:abstractNumId="3" w15:restartNumberingAfterBreak="0">
    <w:nsid w:val="00000002"/>
    <w:multiLevelType w:val="multilevel"/>
    <w:tmpl w:val="75F80716"/>
    <w:lvl w:ilvl="0">
      <w:start w:val="1"/>
      <w:numFmt w:val="bullet"/>
      <w:pStyle w:val="Bullet2"/>
      <w:lvlText w:val=""/>
      <w:lvlJc w:val="left"/>
      <w:pPr>
        <w:ind w:left="720" w:hanging="360"/>
      </w:pPr>
      <w:rPr>
        <w:rFonts w:ascii="Wingdings" w:hAnsi="Wingdings" w:hint="default"/>
        <w:color w:val="053572"/>
        <w:sz w:val="22"/>
      </w:rPr>
    </w:lvl>
    <w:lvl w:ilvl="1">
      <w:start w:val="1"/>
      <w:numFmt w:val="bullet"/>
      <w:pStyle w:val="Bullet2"/>
      <w:lvlText w:val=""/>
      <w:lvlJc w:val="left"/>
      <w:pPr>
        <w:ind w:left="1080" w:hanging="360"/>
      </w:pPr>
      <w:rPr>
        <w:rFonts w:ascii="Wingdings" w:hAnsi="Wingdings" w:hint="default"/>
        <w:color w:val="1295D8"/>
        <w:sz w:val="22"/>
      </w:rPr>
    </w:lvl>
    <w:lvl w:ilvl="2">
      <w:start w:val="1"/>
      <w:numFmt w:val="bullet"/>
      <w:lvlRestart w:val="0"/>
      <w:lvlText w:val=""/>
      <w:lvlJc w:val="left"/>
      <w:pPr>
        <w:tabs>
          <w:tab w:val="num" w:pos="1080"/>
        </w:tabs>
        <w:ind w:left="1440" w:hanging="360"/>
      </w:pPr>
      <w:rPr>
        <w:rFonts w:ascii="Wingdings" w:hAnsi="Wingdings" w:hint="default"/>
        <w:color w:val="4D4D4F"/>
        <w:sz w:val="22"/>
      </w:rPr>
    </w:lvl>
    <w:lvl w:ilvl="3">
      <w:start w:val="1"/>
      <w:numFmt w:val="bullet"/>
      <w:lvlText w:val=""/>
      <w:lvlJc w:val="left"/>
      <w:pPr>
        <w:ind w:left="2160" w:hanging="432"/>
      </w:pPr>
      <w:rPr>
        <w:rFonts w:ascii="Wingdings" w:hAnsi="Wingdings" w:cs="Times New Roman" w:hint="default"/>
        <w:b w:val="0"/>
        <w:bCs w:val="0"/>
        <w:i w:val="0"/>
        <w:iCs w:val="0"/>
        <w:caps w:val="0"/>
        <w:smallCaps w:val="0"/>
        <w:strike w:val="0"/>
        <w:dstrike w:val="0"/>
        <w:noProof w:val="0"/>
        <w:vanish w:val="0"/>
        <w:color w:val="0069B6"/>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3600" w:hanging="360"/>
      </w:pPr>
      <w:rPr>
        <w:rFonts w:ascii="Wingdings" w:hAnsi="Wingdings" w:hint="default"/>
        <w:color w:val="64B3E8"/>
      </w:rPr>
    </w:lvl>
    <w:lvl w:ilvl="5">
      <w:start w:val="1"/>
      <w:numFmt w:val="bullet"/>
      <w:lvlText w:val=""/>
      <w:lvlJc w:val="left"/>
      <w:pPr>
        <w:ind w:left="4320" w:hanging="360"/>
      </w:pPr>
      <w:rPr>
        <w:rFonts w:ascii="Wingdings" w:hAnsi="Wingdings" w:hint="default"/>
        <w:color w:val="696969"/>
      </w:rPr>
    </w:lvl>
    <w:lvl w:ilvl="6">
      <w:start w:val="1"/>
      <w:numFmt w:val="bullet"/>
      <w:lvlText w:val=""/>
      <w:lvlJc w:val="left"/>
      <w:pPr>
        <w:ind w:left="5040" w:hanging="360"/>
      </w:pPr>
      <w:rPr>
        <w:rFonts w:ascii="Wingdings" w:hAnsi="Wingdings" w:hint="default"/>
        <w:color w:val="172B54" w:themeColor="accent1"/>
      </w:rPr>
    </w:lvl>
    <w:lvl w:ilvl="7">
      <w:start w:val="1"/>
      <w:numFmt w:val="bullet"/>
      <w:lvlText w:val=""/>
      <w:lvlJc w:val="left"/>
      <w:pPr>
        <w:ind w:left="5760" w:hanging="360"/>
      </w:pPr>
      <w:rPr>
        <w:rFonts w:ascii="Wingdings" w:hAnsi="Wingdings" w:hint="default"/>
        <w:color w:val="265EAC" w:themeColor="accent2"/>
      </w:rPr>
    </w:lvl>
    <w:lvl w:ilvl="8">
      <w:start w:val="1"/>
      <w:numFmt w:val="bullet"/>
      <w:lvlText w:val=""/>
      <w:lvlJc w:val="left"/>
      <w:pPr>
        <w:ind w:left="6480" w:hanging="360"/>
      </w:pPr>
      <w:rPr>
        <w:rFonts w:ascii="Wingdings" w:hAnsi="Wingdings" w:hint="default"/>
        <w:color w:val="1FA9E1" w:themeColor="accent3"/>
      </w:rPr>
    </w:lvl>
  </w:abstractNum>
  <w:abstractNum w:abstractNumId="4" w15:restartNumberingAfterBreak="0">
    <w:nsid w:val="00000003"/>
    <w:multiLevelType w:val="multilevel"/>
    <w:tmpl w:val="75F80716"/>
    <w:lvl w:ilvl="0">
      <w:start w:val="1"/>
      <w:numFmt w:val="bullet"/>
      <w:lvlText w:val=""/>
      <w:lvlJc w:val="left"/>
      <w:pPr>
        <w:ind w:left="720" w:hanging="360"/>
      </w:pPr>
      <w:rPr>
        <w:rFonts w:ascii="Wingdings" w:hAnsi="Wingdings" w:hint="default"/>
        <w:color w:val="053572"/>
        <w:sz w:val="22"/>
      </w:rPr>
    </w:lvl>
    <w:lvl w:ilvl="1">
      <w:start w:val="1"/>
      <w:numFmt w:val="bullet"/>
      <w:pStyle w:val="Bullet3"/>
      <w:lvlText w:val=""/>
      <w:lvlJc w:val="left"/>
      <w:pPr>
        <w:ind w:left="1080" w:hanging="360"/>
      </w:pPr>
      <w:rPr>
        <w:rFonts w:ascii="Wingdings" w:hAnsi="Wingdings" w:hint="default"/>
        <w:color w:val="1295D8"/>
        <w:sz w:val="22"/>
      </w:rPr>
    </w:lvl>
    <w:lvl w:ilvl="2">
      <w:start w:val="1"/>
      <w:numFmt w:val="bullet"/>
      <w:lvlRestart w:val="0"/>
      <w:pStyle w:val="Bullet3"/>
      <w:lvlText w:val=""/>
      <w:lvlJc w:val="left"/>
      <w:pPr>
        <w:tabs>
          <w:tab w:val="num" w:pos="1080"/>
        </w:tabs>
        <w:ind w:left="1440" w:hanging="360"/>
      </w:pPr>
      <w:rPr>
        <w:rFonts w:ascii="Wingdings" w:hAnsi="Wingdings" w:hint="default"/>
        <w:color w:val="4D4D4F"/>
        <w:sz w:val="22"/>
      </w:rPr>
    </w:lvl>
    <w:lvl w:ilvl="3">
      <w:start w:val="1"/>
      <w:numFmt w:val="bullet"/>
      <w:lvlText w:val=""/>
      <w:lvlJc w:val="left"/>
      <w:pPr>
        <w:ind w:left="2160" w:hanging="432"/>
      </w:pPr>
      <w:rPr>
        <w:rFonts w:ascii="Wingdings" w:hAnsi="Wingdings" w:cs="Times New Roman" w:hint="default"/>
        <w:b w:val="0"/>
        <w:bCs w:val="0"/>
        <w:i w:val="0"/>
        <w:iCs w:val="0"/>
        <w:caps w:val="0"/>
        <w:smallCaps w:val="0"/>
        <w:strike w:val="0"/>
        <w:dstrike w:val="0"/>
        <w:noProof w:val="0"/>
        <w:vanish w:val="0"/>
        <w:color w:val="0069B6"/>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3600" w:hanging="360"/>
      </w:pPr>
      <w:rPr>
        <w:rFonts w:ascii="Wingdings" w:hAnsi="Wingdings" w:hint="default"/>
        <w:color w:val="64B3E8"/>
      </w:rPr>
    </w:lvl>
    <w:lvl w:ilvl="5">
      <w:start w:val="1"/>
      <w:numFmt w:val="bullet"/>
      <w:lvlText w:val=""/>
      <w:lvlJc w:val="left"/>
      <w:pPr>
        <w:ind w:left="4320" w:hanging="360"/>
      </w:pPr>
      <w:rPr>
        <w:rFonts w:ascii="Wingdings" w:hAnsi="Wingdings" w:hint="default"/>
        <w:color w:val="696969"/>
      </w:rPr>
    </w:lvl>
    <w:lvl w:ilvl="6">
      <w:start w:val="1"/>
      <w:numFmt w:val="bullet"/>
      <w:lvlText w:val=""/>
      <w:lvlJc w:val="left"/>
      <w:pPr>
        <w:ind w:left="5040" w:hanging="360"/>
      </w:pPr>
      <w:rPr>
        <w:rFonts w:ascii="Wingdings" w:hAnsi="Wingdings" w:hint="default"/>
        <w:color w:val="172B54" w:themeColor="accent1"/>
      </w:rPr>
    </w:lvl>
    <w:lvl w:ilvl="7">
      <w:start w:val="1"/>
      <w:numFmt w:val="bullet"/>
      <w:lvlText w:val=""/>
      <w:lvlJc w:val="left"/>
      <w:pPr>
        <w:ind w:left="5760" w:hanging="360"/>
      </w:pPr>
      <w:rPr>
        <w:rFonts w:ascii="Wingdings" w:hAnsi="Wingdings" w:hint="default"/>
        <w:color w:val="265EAC" w:themeColor="accent2"/>
      </w:rPr>
    </w:lvl>
    <w:lvl w:ilvl="8">
      <w:start w:val="1"/>
      <w:numFmt w:val="bullet"/>
      <w:lvlText w:val=""/>
      <w:lvlJc w:val="left"/>
      <w:pPr>
        <w:ind w:left="6480" w:hanging="360"/>
      </w:pPr>
      <w:rPr>
        <w:rFonts w:ascii="Wingdings" w:hAnsi="Wingdings" w:hint="default"/>
        <w:color w:val="1FA9E1" w:themeColor="accent3"/>
      </w:rPr>
    </w:lvl>
  </w:abstractNum>
  <w:abstractNum w:abstractNumId="5" w15:restartNumberingAfterBreak="0">
    <w:nsid w:val="00000004"/>
    <w:multiLevelType w:val="hybridMultilevel"/>
    <w:tmpl w:val="1B8E5A38"/>
    <w:lvl w:ilvl="0" w:tplc="56E88874">
      <w:start w:val="1"/>
      <w:numFmt w:val="decimal"/>
      <w:pStyle w:val="CaptionFigure"/>
      <w:suff w:val="space"/>
      <w:lvlText w:val="Figure %1."/>
      <w:lvlJc w:val="left"/>
      <w:pPr>
        <w:ind w:left="0" w:firstLine="0"/>
      </w:pPr>
      <w:rPr>
        <w:rFonts w:hint="default"/>
      </w:rPr>
    </w:lvl>
    <w:lvl w:ilvl="1" w:tplc="4052086A" w:tentative="1">
      <w:start w:val="1"/>
      <w:numFmt w:val="lowerLetter"/>
      <w:lvlText w:val="%2."/>
      <w:lvlJc w:val="left"/>
      <w:pPr>
        <w:ind w:left="1440" w:hanging="360"/>
      </w:pPr>
    </w:lvl>
    <w:lvl w:ilvl="2" w:tplc="266A147A" w:tentative="1">
      <w:start w:val="1"/>
      <w:numFmt w:val="lowerRoman"/>
      <w:lvlText w:val="%3."/>
      <w:lvlJc w:val="right"/>
      <w:pPr>
        <w:ind w:left="2160" w:hanging="180"/>
      </w:pPr>
    </w:lvl>
    <w:lvl w:ilvl="3" w:tplc="DE64582A" w:tentative="1">
      <w:start w:val="1"/>
      <w:numFmt w:val="decimal"/>
      <w:lvlText w:val="%4."/>
      <w:lvlJc w:val="left"/>
      <w:pPr>
        <w:ind w:left="2880" w:hanging="360"/>
      </w:pPr>
    </w:lvl>
    <w:lvl w:ilvl="4" w:tplc="DD2C6B0A" w:tentative="1">
      <w:start w:val="1"/>
      <w:numFmt w:val="lowerLetter"/>
      <w:lvlText w:val="%5."/>
      <w:lvlJc w:val="left"/>
      <w:pPr>
        <w:ind w:left="3600" w:hanging="360"/>
      </w:pPr>
    </w:lvl>
    <w:lvl w:ilvl="5" w:tplc="C7382350" w:tentative="1">
      <w:start w:val="1"/>
      <w:numFmt w:val="lowerRoman"/>
      <w:lvlText w:val="%6."/>
      <w:lvlJc w:val="right"/>
      <w:pPr>
        <w:ind w:left="4320" w:hanging="180"/>
      </w:pPr>
    </w:lvl>
    <w:lvl w:ilvl="6" w:tplc="2A8EF032" w:tentative="1">
      <w:start w:val="1"/>
      <w:numFmt w:val="decimal"/>
      <w:lvlText w:val="%7."/>
      <w:lvlJc w:val="left"/>
      <w:pPr>
        <w:ind w:left="5040" w:hanging="360"/>
      </w:pPr>
    </w:lvl>
    <w:lvl w:ilvl="7" w:tplc="6068D17E" w:tentative="1">
      <w:start w:val="1"/>
      <w:numFmt w:val="lowerLetter"/>
      <w:lvlText w:val="%8."/>
      <w:lvlJc w:val="left"/>
      <w:pPr>
        <w:ind w:left="5760" w:hanging="360"/>
      </w:pPr>
    </w:lvl>
    <w:lvl w:ilvl="8" w:tplc="610C6D54" w:tentative="1">
      <w:start w:val="1"/>
      <w:numFmt w:val="lowerRoman"/>
      <w:lvlText w:val="%9."/>
      <w:lvlJc w:val="right"/>
      <w:pPr>
        <w:ind w:left="6480" w:hanging="180"/>
      </w:pPr>
    </w:lvl>
  </w:abstractNum>
  <w:abstractNum w:abstractNumId="6" w15:restartNumberingAfterBreak="0">
    <w:nsid w:val="00000005"/>
    <w:multiLevelType w:val="hybridMultilevel"/>
    <w:tmpl w:val="F0A220D0"/>
    <w:lvl w:ilvl="0" w:tplc="3DA8E5CE">
      <w:start w:val="1"/>
      <w:numFmt w:val="decimal"/>
      <w:pStyle w:val="CaptionTable"/>
      <w:suff w:val="space"/>
      <w:lvlText w:val="Table %1."/>
      <w:lvlJc w:val="left"/>
      <w:pPr>
        <w:ind w:left="0" w:firstLine="0"/>
      </w:pPr>
      <w:rPr>
        <w:rFonts w:hint="default"/>
      </w:rPr>
    </w:lvl>
    <w:lvl w:ilvl="1" w:tplc="9EAEE094" w:tentative="1">
      <w:start w:val="1"/>
      <w:numFmt w:val="lowerLetter"/>
      <w:lvlText w:val="%2."/>
      <w:lvlJc w:val="left"/>
      <w:pPr>
        <w:ind w:left="1440" w:hanging="360"/>
      </w:pPr>
    </w:lvl>
    <w:lvl w:ilvl="2" w:tplc="3ABA3FA6" w:tentative="1">
      <w:start w:val="1"/>
      <w:numFmt w:val="lowerRoman"/>
      <w:lvlText w:val="%3."/>
      <w:lvlJc w:val="right"/>
      <w:pPr>
        <w:ind w:left="2160" w:hanging="180"/>
      </w:pPr>
    </w:lvl>
    <w:lvl w:ilvl="3" w:tplc="3EEEB0EA" w:tentative="1">
      <w:start w:val="1"/>
      <w:numFmt w:val="decimal"/>
      <w:lvlText w:val="%4."/>
      <w:lvlJc w:val="left"/>
      <w:pPr>
        <w:ind w:left="2880" w:hanging="360"/>
      </w:pPr>
    </w:lvl>
    <w:lvl w:ilvl="4" w:tplc="7EAC3240" w:tentative="1">
      <w:start w:val="1"/>
      <w:numFmt w:val="lowerLetter"/>
      <w:lvlText w:val="%5."/>
      <w:lvlJc w:val="left"/>
      <w:pPr>
        <w:ind w:left="3600" w:hanging="360"/>
      </w:pPr>
    </w:lvl>
    <w:lvl w:ilvl="5" w:tplc="12E0921E" w:tentative="1">
      <w:start w:val="1"/>
      <w:numFmt w:val="lowerRoman"/>
      <w:lvlText w:val="%6."/>
      <w:lvlJc w:val="right"/>
      <w:pPr>
        <w:ind w:left="4320" w:hanging="180"/>
      </w:pPr>
    </w:lvl>
    <w:lvl w:ilvl="6" w:tplc="ED321540" w:tentative="1">
      <w:start w:val="1"/>
      <w:numFmt w:val="decimal"/>
      <w:lvlText w:val="%7."/>
      <w:lvlJc w:val="left"/>
      <w:pPr>
        <w:ind w:left="5040" w:hanging="360"/>
      </w:pPr>
    </w:lvl>
    <w:lvl w:ilvl="7" w:tplc="BF861E44" w:tentative="1">
      <w:start w:val="1"/>
      <w:numFmt w:val="lowerLetter"/>
      <w:lvlText w:val="%8."/>
      <w:lvlJc w:val="left"/>
      <w:pPr>
        <w:ind w:left="5760" w:hanging="360"/>
      </w:pPr>
    </w:lvl>
    <w:lvl w:ilvl="8" w:tplc="727A35E4" w:tentative="1">
      <w:start w:val="1"/>
      <w:numFmt w:val="lowerRoman"/>
      <w:lvlText w:val="%9."/>
      <w:lvlJc w:val="right"/>
      <w:pPr>
        <w:ind w:left="6480" w:hanging="180"/>
      </w:pPr>
    </w:lvl>
  </w:abstractNum>
  <w:abstractNum w:abstractNumId="7" w15:restartNumberingAfterBreak="0">
    <w:nsid w:val="00000006"/>
    <w:multiLevelType w:val="multilevel"/>
    <w:tmpl w:val="7694A4F6"/>
    <w:lvl w:ilvl="0">
      <w:start w:val="1"/>
      <w:numFmt w:val="decimal"/>
      <w:lvlText w:val="%1."/>
      <w:lvlJc w:val="left"/>
      <w:pPr>
        <w:tabs>
          <w:tab w:val="num" w:pos="1080"/>
        </w:tabs>
        <w:ind w:left="0" w:firstLine="0"/>
      </w:pPr>
      <w:rPr>
        <w:rFonts w:hint="default"/>
      </w:rPr>
    </w:lvl>
    <w:lvl w:ilvl="1">
      <w:start w:val="1"/>
      <w:numFmt w:val="decimal"/>
      <w:lvlText w:val="%1.%2"/>
      <w:lvlJc w:val="left"/>
      <w:pPr>
        <w:tabs>
          <w:tab w:val="num" w:pos="1080"/>
        </w:tabs>
        <w:ind w:left="0" w:firstLine="0"/>
      </w:pPr>
    </w:lvl>
    <w:lvl w:ilvl="2">
      <w:start w:val="1"/>
      <w:numFmt w:val="decimal"/>
      <w:lvlText w:val="%1.%2.%3"/>
      <w:lvlJc w:val="left"/>
      <w:pPr>
        <w:tabs>
          <w:tab w:val="num" w:pos="1080"/>
        </w:tabs>
        <w:ind w:left="0" w:firstLine="0"/>
      </w:pPr>
      <w:rPr>
        <w:rFonts w:cs="Times New Roman"/>
        <w:b w:val="0"/>
        <w:bCs w:val="0"/>
        <w:i w:val="0"/>
        <w:iCs w:val="0"/>
        <w:caps w:val="0"/>
        <w:smallCaps w:val="0"/>
        <w:strike w:val="0"/>
        <w:dstrike w:val="0"/>
        <w:outline w:val="0"/>
        <w:shadow w:val="0"/>
        <w:emboss w:val="0"/>
        <w:imprint w:val="0"/>
        <w:noProof w:val="0"/>
        <w:vanish w:val="0"/>
        <w:color w:val="265EAC" w:themeColor="accent2"/>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lvlText w:val="%1.%2.%3.%4"/>
      <w:lvlJc w:val="left"/>
      <w:pPr>
        <w:tabs>
          <w:tab w:val="num" w:pos="360"/>
        </w:tabs>
        <w:ind w:left="0" w:firstLine="0"/>
      </w:pPr>
      <w:rPr>
        <w:rFonts w:hint="default"/>
      </w:rPr>
    </w:lvl>
    <w:lvl w:ilvl="4">
      <w:start w:val="1"/>
      <w:numFmt w:val="decimal"/>
      <w:lvlText w:val="%1.%2.%3.%4.%5"/>
      <w:lvlJc w:val="left"/>
      <w:pPr>
        <w:tabs>
          <w:tab w:val="num" w:pos="360"/>
        </w:tabs>
        <w:ind w:left="0" w:firstLine="0"/>
      </w:pPr>
      <w:rPr>
        <w:rFonts w:hint="default"/>
      </w:rPr>
    </w:lvl>
    <w:lvl w:ilvl="5">
      <w:start w:val="1"/>
      <w:numFmt w:val="decimal"/>
      <w:lvlText w:val="%1.%2.%3.%4.%5.%6"/>
      <w:lvlJc w:val="left"/>
      <w:pPr>
        <w:tabs>
          <w:tab w:val="num" w:pos="360"/>
        </w:tabs>
        <w:ind w:left="0" w:firstLine="0"/>
      </w:pPr>
      <w:rPr>
        <w:rFonts w:hint="default"/>
      </w:rPr>
    </w:lvl>
    <w:lvl w:ilvl="6">
      <w:start w:val="1"/>
      <w:numFmt w:val="decimal"/>
      <w:lvlText w:val="%1.%2.%3.%4.%5.%6.%7"/>
      <w:lvlJc w:val="left"/>
      <w:pPr>
        <w:tabs>
          <w:tab w:val="num" w:pos="360"/>
        </w:tabs>
        <w:ind w:left="0" w:firstLine="0"/>
      </w:pPr>
      <w:rPr>
        <w:rFonts w:hint="default"/>
      </w:rPr>
    </w:lvl>
    <w:lvl w:ilvl="7">
      <w:start w:val="1"/>
      <w:numFmt w:val="decimal"/>
      <w:lvlText w:val="%1.%2.%3.%4.%5.%6.%7.%8"/>
      <w:lvlJc w:val="left"/>
      <w:pPr>
        <w:tabs>
          <w:tab w:val="num" w:pos="360"/>
        </w:tabs>
        <w:ind w:left="0" w:firstLine="0"/>
      </w:pPr>
      <w:rPr>
        <w:rFonts w:hint="default"/>
      </w:rPr>
    </w:lvl>
    <w:lvl w:ilvl="8">
      <w:start w:val="1"/>
      <w:numFmt w:val="decimal"/>
      <w:lvlText w:val="%1.%2.%3.%4.%5.%6.%7.%8.%9"/>
      <w:lvlJc w:val="left"/>
      <w:pPr>
        <w:tabs>
          <w:tab w:val="num" w:pos="360"/>
        </w:tabs>
        <w:ind w:left="0" w:firstLine="0"/>
      </w:pPr>
      <w:rPr>
        <w:rFonts w:hint="default"/>
      </w:rPr>
    </w:lvl>
  </w:abstractNum>
  <w:abstractNum w:abstractNumId="8" w15:restartNumberingAfterBreak="0">
    <w:nsid w:val="00000009"/>
    <w:multiLevelType w:val="singleLevel"/>
    <w:tmpl w:val="01A6B67E"/>
    <w:lvl w:ilvl="0">
      <w:start w:val="1"/>
      <w:numFmt w:val="decimal"/>
      <w:pStyle w:val="ListNumber"/>
      <w:lvlText w:val="%1."/>
      <w:lvlJc w:val="left"/>
      <w:pPr>
        <w:tabs>
          <w:tab w:val="num" w:pos="360"/>
        </w:tabs>
        <w:ind w:left="360" w:hanging="360"/>
      </w:pPr>
    </w:lvl>
  </w:abstractNum>
  <w:abstractNum w:abstractNumId="9" w15:restartNumberingAfterBreak="0">
    <w:nsid w:val="0000000A"/>
    <w:multiLevelType w:val="singleLevel"/>
    <w:tmpl w:val="AB1A98D2"/>
    <w:lvl w:ilvl="0">
      <w:start w:val="1"/>
      <w:numFmt w:val="decimal"/>
      <w:pStyle w:val="ListNumber2"/>
      <w:lvlText w:val="%1."/>
      <w:lvlJc w:val="left"/>
      <w:pPr>
        <w:tabs>
          <w:tab w:val="num" w:pos="720"/>
        </w:tabs>
        <w:ind w:left="720" w:hanging="360"/>
      </w:pPr>
    </w:lvl>
  </w:abstractNum>
  <w:abstractNum w:abstractNumId="10" w15:restartNumberingAfterBreak="0">
    <w:nsid w:val="0000000B"/>
    <w:multiLevelType w:val="singleLevel"/>
    <w:tmpl w:val="57B63BE6"/>
    <w:lvl w:ilvl="0">
      <w:start w:val="1"/>
      <w:numFmt w:val="decimal"/>
      <w:pStyle w:val="ListNumber3"/>
      <w:lvlText w:val="%1."/>
      <w:lvlJc w:val="left"/>
      <w:pPr>
        <w:tabs>
          <w:tab w:val="num" w:pos="1080"/>
        </w:tabs>
        <w:ind w:left="1080" w:hanging="360"/>
      </w:pPr>
    </w:lvl>
  </w:abstractNum>
  <w:abstractNum w:abstractNumId="11" w15:restartNumberingAfterBreak="0">
    <w:nsid w:val="0000000C"/>
    <w:multiLevelType w:val="multilevel"/>
    <w:tmpl w:val="7C74D798"/>
    <w:lvl w:ilvl="0">
      <w:start w:val="1"/>
      <w:numFmt w:val="decimal"/>
      <w:pStyle w:val="NoList1"/>
      <w:lvlText w:val="%1."/>
      <w:lvlJc w:val="left"/>
      <w:pPr>
        <w:ind w:left="360" w:hanging="360"/>
      </w:pPr>
    </w:lvl>
    <w:lvl w:ilvl="1">
      <w:start w:val="1"/>
      <w:numFmt w:val="lowerLetter"/>
      <w:lvlText w:val="%2."/>
      <w:lvlJc w:val="left"/>
      <w:pPr>
        <w:ind w:left="720" w:hanging="360"/>
      </w:pPr>
      <w:rPr>
        <w:rFonts w:hint="default"/>
        <w:color w:val="auto"/>
      </w:rPr>
    </w:lvl>
    <w:lvl w:ilvl="2">
      <w:start w:val="1"/>
      <w:numFmt w:val="lowerRoman"/>
      <w:lvlText w:val="%3."/>
      <w:lvlJc w:val="left"/>
      <w:pPr>
        <w:ind w:left="1080" w:hanging="360"/>
      </w:pPr>
      <w:rPr>
        <w:rFonts w:hint="default"/>
        <w:color w:val="auto"/>
      </w:rPr>
    </w:lvl>
    <w:lvl w:ilvl="3">
      <w:start w:val="1"/>
      <w:numFmt w:val="decimal"/>
      <w:lvlText w:val="%4."/>
      <w:lvlJc w:val="left"/>
      <w:pPr>
        <w:ind w:left="1440" w:hanging="360"/>
      </w:pPr>
      <w:rPr>
        <w:rFonts w:hint="default"/>
        <w:color w:val="auto"/>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000000D"/>
    <w:multiLevelType w:val="multilevel"/>
    <w:tmpl w:val="CA48C9AC"/>
    <w:lvl w:ilvl="0">
      <w:start w:val="1"/>
      <w:numFmt w:val="decimal"/>
      <w:lvlText w:val="%1."/>
      <w:lvlJc w:val="left"/>
      <w:pPr>
        <w:ind w:left="360" w:hanging="360"/>
      </w:pPr>
      <w:rPr>
        <w:rFonts w:hint="default"/>
        <w:b w:val="0"/>
        <w:i w:val="0"/>
        <w:color w:val="auto"/>
        <w:sz w:val="22"/>
      </w:rPr>
    </w:lvl>
    <w:lvl w:ilvl="1">
      <w:start w:val="1"/>
      <w:numFmt w:val="lowerLetter"/>
      <w:pStyle w:val="NoList2"/>
      <w:lvlText w:val="%2."/>
      <w:lvlJc w:val="left"/>
      <w:pPr>
        <w:ind w:left="720" w:hanging="360"/>
      </w:pPr>
    </w:lvl>
    <w:lvl w:ilvl="2">
      <w:start w:val="1"/>
      <w:numFmt w:val="lowerRoman"/>
      <w:lvlText w:val="%3."/>
      <w:lvlJc w:val="left"/>
      <w:pPr>
        <w:ind w:left="1080" w:hanging="360"/>
      </w:pPr>
      <w:rPr>
        <w:rFonts w:hint="default"/>
        <w:color w:val="auto"/>
      </w:rPr>
    </w:lvl>
    <w:lvl w:ilvl="3">
      <w:start w:val="1"/>
      <w:numFmt w:val="decimal"/>
      <w:lvlText w:val="%4."/>
      <w:lvlJc w:val="left"/>
      <w:pPr>
        <w:ind w:left="1440" w:hanging="360"/>
      </w:pPr>
      <w:rPr>
        <w:rFonts w:hint="default"/>
        <w:color w:val="auto"/>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000000E"/>
    <w:multiLevelType w:val="multilevel"/>
    <w:tmpl w:val="73526CFC"/>
    <w:lvl w:ilvl="0">
      <w:start w:val="1"/>
      <w:numFmt w:val="decimal"/>
      <w:lvlText w:val="%1."/>
      <w:lvlJc w:val="left"/>
      <w:pPr>
        <w:ind w:left="360" w:hanging="360"/>
      </w:pPr>
      <w:rPr>
        <w:rFonts w:hint="default"/>
        <w:b w:val="0"/>
        <w:i w:val="0"/>
        <w:color w:val="auto"/>
        <w:sz w:val="22"/>
      </w:rPr>
    </w:lvl>
    <w:lvl w:ilvl="1">
      <w:start w:val="1"/>
      <w:numFmt w:val="lowerLetter"/>
      <w:lvlText w:val="%2."/>
      <w:lvlJc w:val="left"/>
      <w:pPr>
        <w:ind w:left="720" w:hanging="360"/>
      </w:pPr>
      <w:rPr>
        <w:rFonts w:hint="default"/>
        <w:color w:val="auto"/>
      </w:rPr>
    </w:lvl>
    <w:lvl w:ilvl="2">
      <w:start w:val="1"/>
      <w:numFmt w:val="lowerRoman"/>
      <w:pStyle w:val="NoList3"/>
      <w:lvlText w:val="%3."/>
      <w:lvlJc w:val="left"/>
      <w:pPr>
        <w:ind w:left="1080" w:hanging="360"/>
      </w:pPr>
      <w:rPr>
        <w:rFonts w:hint="default"/>
        <w:color w:val="4A4D56" w:themeColor="text1"/>
      </w:rPr>
    </w:lvl>
    <w:lvl w:ilvl="3">
      <w:start w:val="1"/>
      <w:numFmt w:val="decimal"/>
      <w:lvlText w:val="%4."/>
      <w:lvlJc w:val="left"/>
      <w:pPr>
        <w:ind w:left="1440" w:hanging="360"/>
      </w:pPr>
      <w:rPr>
        <w:rFonts w:hint="default"/>
        <w:color w:val="auto"/>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0000012"/>
    <w:multiLevelType w:val="multilevel"/>
    <w:tmpl w:val="62AA902E"/>
    <w:lvl w:ilvl="0">
      <w:start w:val="1"/>
      <w:numFmt w:val="bullet"/>
      <w:pStyle w:val="TableBullet"/>
      <w:lvlText w:val=""/>
      <w:lvlJc w:val="left"/>
      <w:pPr>
        <w:ind w:left="720" w:hanging="360"/>
      </w:pPr>
      <w:rPr>
        <w:rFonts w:ascii="Wingdings" w:hAnsi="Wingdings" w:hint="default"/>
        <w:color w:val="053572" w:themeColor="text2"/>
        <w:sz w:val="20"/>
      </w:rPr>
    </w:lvl>
    <w:lvl w:ilvl="1">
      <w:start w:val="1"/>
      <w:numFmt w:val="bullet"/>
      <w:lvlText w:val=""/>
      <w:lvlJc w:val="left"/>
      <w:pPr>
        <w:ind w:left="1080" w:hanging="360"/>
      </w:pPr>
      <w:rPr>
        <w:rFonts w:ascii="Wingdings" w:hAnsi="Wingdings" w:hint="default"/>
        <w:color w:val="1295D8"/>
        <w:sz w:val="22"/>
      </w:rPr>
    </w:lvl>
    <w:lvl w:ilvl="2">
      <w:start w:val="1"/>
      <w:numFmt w:val="bullet"/>
      <w:lvlRestart w:val="0"/>
      <w:lvlText w:val=""/>
      <w:lvlJc w:val="left"/>
      <w:pPr>
        <w:tabs>
          <w:tab w:val="num" w:pos="1080"/>
        </w:tabs>
        <w:ind w:left="1440" w:hanging="360"/>
      </w:pPr>
      <w:rPr>
        <w:rFonts w:ascii="Wingdings" w:hAnsi="Wingdings" w:hint="default"/>
        <w:color w:val="4D4D4F"/>
        <w:sz w:val="22"/>
      </w:rPr>
    </w:lvl>
    <w:lvl w:ilvl="3">
      <w:start w:val="1"/>
      <w:numFmt w:val="bullet"/>
      <w:lvlText w:val=""/>
      <w:lvlJc w:val="left"/>
      <w:pPr>
        <w:ind w:left="2160" w:hanging="432"/>
      </w:pPr>
      <w:rPr>
        <w:rFonts w:ascii="Wingdings" w:hAnsi="Wingdings" w:cs="Times New Roman" w:hint="default"/>
        <w:b w:val="0"/>
        <w:bCs w:val="0"/>
        <w:i w:val="0"/>
        <w:iCs w:val="0"/>
        <w:caps w:val="0"/>
        <w:smallCaps w:val="0"/>
        <w:strike w:val="0"/>
        <w:dstrike w:val="0"/>
        <w:noProof w:val="0"/>
        <w:vanish w:val="0"/>
        <w:color w:val="0069B6"/>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3600" w:hanging="360"/>
      </w:pPr>
      <w:rPr>
        <w:rFonts w:ascii="Wingdings" w:hAnsi="Wingdings" w:hint="default"/>
        <w:color w:val="64B3E8"/>
      </w:rPr>
    </w:lvl>
    <w:lvl w:ilvl="5">
      <w:start w:val="1"/>
      <w:numFmt w:val="bullet"/>
      <w:lvlText w:val=""/>
      <w:lvlJc w:val="left"/>
      <w:pPr>
        <w:ind w:left="4320" w:hanging="360"/>
      </w:pPr>
      <w:rPr>
        <w:rFonts w:ascii="Wingdings" w:hAnsi="Wingdings" w:hint="default"/>
        <w:color w:val="696969"/>
      </w:rPr>
    </w:lvl>
    <w:lvl w:ilvl="6">
      <w:start w:val="1"/>
      <w:numFmt w:val="bullet"/>
      <w:lvlText w:val=""/>
      <w:lvlJc w:val="left"/>
      <w:pPr>
        <w:ind w:left="5040" w:hanging="360"/>
      </w:pPr>
      <w:rPr>
        <w:rFonts w:ascii="Wingdings" w:hAnsi="Wingdings" w:hint="default"/>
        <w:color w:val="172B54" w:themeColor="accent1"/>
      </w:rPr>
    </w:lvl>
    <w:lvl w:ilvl="7">
      <w:start w:val="1"/>
      <w:numFmt w:val="bullet"/>
      <w:lvlText w:val=""/>
      <w:lvlJc w:val="left"/>
      <w:pPr>
        <w:ind w:left="5760" w:hanging="360"/>
      </w:pPr>
      <w:rPr>
        <w:rFonts w:ascii="Wingdings" w:hAnsi="Wingdings" w:hint="default"/>
        <w:color w:val="265EAC" w:themeColor="accent2"/>
      </w:rPr>
    </w:lvl>
    <w:lvl w:ilvl="8">
      <w:start w:val="1"/>
      <w:numFmt w:val="bullet"/>
      <w:lvlText w:val=""/>
      <w:lvlJc w:val="left"/>
      <w:pPr>
        <w:ind w:left="6480" w:hanging="360"/>
      </w:pPr>
      <w:rPr>
        <w:rFonts w:ascii="Wingdings" w:hAnsi="Wingdings" w:hint="default"/>
        <w:color w:val="1FA9E1" w:themeColor="accent3"/>
      </w:rPr>
    </w:lvl>
  </w:abstractNum>
  <w:abstractNum w:abstractNumId="15" w15:restartNumberingAfterBreak="0">
    <w:nsid w:val="503D6C61"/>
    <w:multiLevelType w:val="hybridMultilevel"/>
    <w:tmpl w:val="57AA98B0"/>
    <w:lvl w:ilvl="0" w:tplc="303A6FAC">
      <w:start w:val="1"/>
      <w:numFmt w:val="bullet"/>
      <w:pStyle w:val="ListBullet"/>
      <w:lvlText w:val=""/>
      <w:lvlJc w:val="left"/>
      <w:pPr>
        <w:ind w:left="540" w:hanging="360"/>
      </w:pPr>
      <w:rPr>
        <w:rFonts w:ascii="Wingdings" w:hAnsi="Wingdings" w:hint="default"/>
        <w:color w:val="053572" w:themeColor="text2"/>
      </w:rPr>
    </w:lvl>
    <w:lvl w:ilvl="1" w:tplc="9138973A">
      <w:start w:val="1"/>
      <w:numFmt w:val="bullet"/>
      <w:pStyle w:val="ListBullet2"/>
      <w:lvlText w:val=""/>
      <w:lvlJc w:val="left"/>
      <w:pPr>
        <w:ind w:left="2670" w:hanging="360"/>
      </w:pPr>
      <w:rPr>
        <w:rFonts w:ascii="Wingdings" w:hAnsi="Wingdings" w:hint="default"/>
        <w:color w:val="1FA9E1" w:themeColor="accent3"/>
      </w:rPr>
    </w:lvl>
    <w:lvl w:ilvl="2" w:tplc="33D260E4">
      <w:start w:val="1"/>
      <w:numFmt w:val="bullet"/>
      <w:pStyle w:val="ListBullet3"/>
      <w:lvlText w:val=""/>
      <w:lvlJc w:val="left"/>
      <w:pPr>
        <w:ind w:left="3390" w:hanging="360"/>
      </w:pPr>
      <w:rPr>
        <w:rFonts w:ascii="Wingdings" w:hAnsi="Wingdings" w:hint="default"/>
        <w:color w:val="7E83C0" w:themeColor="accent4"/>
      </w:rPr>
    </w:lvl>
    <w:lvl w:ilvl="3" w:tplc="93CEF16C" w:tentative="1">
      <w:start w:val="1"/>
      <w:numFmt w:val="bullet"/>
      <w:lvlText w:val=""/>
      <w:lvlJc w:val="left"/>
      <w:pPr>
        <w:ind w:left="4110" w:hanging="360"/>
      </w:pPr>
      <w:rPr>
        <w:rFonts w:ascii="Symbol" w:hAnsi="Symbol" w:hint="default"/>
      </w:rPr>
    </w:lvl>
    <w:lvl w:ilvl="4" w:tplc="8126FF06" w:tentative="1">
      <w:start w:val="1"/>
      <w:numFmt w:val="bullet"/>
      <w:lvlText w:val="o"/>
      <w:lvlJc w:val="left"/>
      <w:pPr>
        <w:ind w:left="4830" w:hanging="360"/>
      </w:pPr>
      <w:rPr>
        <w:rFonts w:ascii="Courier New" w:hAnsi="Courier New" w:cs="Courier New" w:hint="default"/>
      </w:rPr>
    </w:lvl>
    <w:lvl w:ilvl="5" w:tplc="148A4FCC" w:tentative="1">
      <w:start w:val="1"/>
      <w:numFmt w:val="bullet"/>
      <w:lvlText w:val=""/>
      <w:lvlJc w:val="left"/>
      <w:pPr>
        <w:ind w:left="5550" w:hanging="360"/>
      </w:pPr>
      <w:rPr>
        <w:rFonts w:ascii="Wingdings" w:hAnsi="Wingdings" w:hint="default"/>
      </w:rPr>
    </w:lvl>
    <w:lvl w:ilvl="6" w:tplc="CCA44C88" w:tentative="1">
      <w:start w:val="1"/>
      <w:numFmt w:val="bullet"/>
      <w:lvlText w:val=""/>
      <w:lvlJc w:val="left"/>
      <w:pPr>
        <w:ind w:left="6270" w:hanging="360"/>
      </w:pPr>
      <w:rPr>
        <w:rFonts w:ascii="Symbol" w:hAnsi="Symbol" w:hint="default"/>
      </w:rPr>
    </w:lvl>
    <w:lvl w:ilvl="7" w:tplc="76A06480" w:tentative="1">
      <w:start w:val="1"/>
      <w:numFmt w:val="bullet"/>
      <w:lvlText w:val="o"/>
      <w:lvlJc w:val="left"/>
      <w:pPr>
        <w:ind w:left="6990" w:hanging="360"/>
      </w:pPr>
      <w:rPr>
        <w:rFonts w:ascii="Courier New" w:hAnsi="Courier New" w:cs="Courier New" w:hint="default"/>
      </w:rPr>
    </w:lvl>
    <w:lvl w:ilvl="8" w:tplc="06F402DC" w:tentative="1">
      <w:start w:val="1"/>
      <w:numFmt w:val="bullet"/>
      <w:lvlText w:val=""/>
      <w:lvlJc w:val="left"/>
      <w:pPr>
        <w:ind w:left="7710" w:hanging="360"/>
      </w:pPr>
      <w:rPr>
        <w:rFonts w:ascii="Wingdings" w:hAnsi="Wingdings" w:hint="default"/>
      </w:rPr>
    </w:lvl>
  </w:abstractNum>
  <w:abstractNum w:abstractNumId="16" w15:restartNumberingAfterBreak="0">
    <w:nsid w:val="575D65CB"/>
    <w:multiLevelType w:val="multilevel"/>
    <w:tmpl w:val="359AAF8C"/>
    <w:styleLink w:val="ODXAPPENDIX"/>
    <w:lvl w:ilvl="0">
      <w:start w:val="1"/>
      <w:numFmt w:val="upperLetter"/>
      <w:lvlText w:val="APPENDIX %1 "/>
      <w:lvlJc w:val="left"/>
      <w:pPr>
        <w:ind w:left="360" w:hanging="360"/>
      </w:pPr>
      <w:rPr>
        <w:rFonts w:ascii="Rift Soft" w:hAnsi="Rift Soft" w:hint="default"/>
        <w:color w:val="053572" w:themeColor="text2"/>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3631B19"/>
    <w:multiLevelType w:val="hybridMultilevel"/>
    <w:tmpl w:val="9CE6D3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24E5C8B"/>
    <w:multiLevelType w:val="multilevel"/>
    <w:tmpl w:val="E6E2F988"/>
    <w:name w:val="Appendix Headings"/>
    <w:lvl w:ilvl="0">
      <w:start w:val="1"/>
      <w:numFmt w:val="upperLetter"/>
      <w:lvlText w:val="APPENDIX %1. "/>
      <w:lvlJc w:val="left"/>
      <w:pPr>
        <w:ind w:left="2268" w:hanging="2268"/>
      </w:pPr>
      <w:rPr>
        <w:rFonts w:ascii="Rift Soft" w:hAnsi="Rift Soft" w:hint="default"/>
        <w:color w:val="053572" w:themeColor="text2"/>
        <w:sz w:val="36"/>
      </w:rPr>
    </w:lvl>
    <w:lvl w:ilvl="1">
      <w:start w:val="1"/>
      <w:numFmt w:val="upperRoman"/>
      <w:lvlText w:val="APPENDIX %1-%2."/>
      <w:lvlJc w:val="left"/>
      <w:pPr>
        <w:ind w:left="2268" w:hanging="2268"/>
      </w:pPr>
      <w:rPr>
        <w:rFonts w:ascii="Rift Soft" w:hAnsi="Rift Soft" w:hint="default"/>
        <w:color w:val="1FA9E1" w:themeColor="accent3"/>
        <w:sz w:val="36"/>
      </w:rPr>
    </w:lvl>
    <w:lvl w:ilvl="2">
      <w:start w:val="1"/>
      <w:numFmt w:val="upperRoman"/>
      <w:lvlText w:val="APPENDIX %1-%2.%3."/>
      <w:lvlJc w:val="left"/>
      <w:pPr>
        <w:ind w:left="2268" w:hanging="2268"/>
      </w:pPr>
      <w:rPr>
        <w:rFonts w:ascii="Rift Soft" w:hAnsi="Rift Soft" w:hint="default"/>
        <w:color w:val="4A4D56" w:themeColor="text1"/>
        <w:sz w:val="32"/>
      </w:rPr>
    </w:lvl>
    <w:lvl w:ilvl="3">
      <w:start w:val="1"/>
      <w:numFmt w:val="decimal"/>
      <w:lvlText w:val="%4."/>
      <w:lvlJc w:val="left"/>
      <w:pPr>
        <w:ind w:left="2268" w:hanging="2268"/>
      </w:pPr>
      <w:rPr>
        <w:rFonts w:hint="default"/>
      </w:rPr>
    </w:lvl>
    <w:lvl w:ilvl="4">
      <w:start w:val="1"/>
      <w:numFmt w:val="lowerLetter"/>
      <w:lvlText w:val="%5."/>
      <w:lvlJc w:val="left"/>
      <w:pPr>
        <w:ind w:left="2268" w:hanging="2268"/>
      </w:pPr>
      <w:rPr>
        <w:rFonts w:hint="default"/>
      </w:rPr>
    </w:lvl>
    <w:lvl w:ilvl="5">
      <w:start w:val="1"/>
      <w:numFmt w:val="lowerRoman"/>
      <w:lvlText w:val="%6."/>
      <w:lvlJc w:val="right"/>
      <w:pPr>
        <w:ind w:left="2268" w:hanging="2268"/>
      </w:pPr>
      <w:rPr>
        <w:rFonts w:hint="default"/>
      </w:rPr>
    </w:lvl>
    <w:lvl w:ilvl="6">
      <w:start w:val="1"/>
      <w:numFmt w:val="decimal"/>
      <w:lvlText w:val="%7."/>
      <w:lvlJc w:val="left"/>
      <w:pPr>
        <w:ind w:left="2268" w:hanging="2268"/>
      </w:pPr>
      <w:rPr>
        <w:rFonts w:hint="default"/>
      </w:rPr>
    </w:lvl>
    <w:lvl w:ilvl="7">
      <w:start w:val="1"/>
      <w:numFmt w:val="lowerLetter"/>
      <w:lvlText w:val="%8."/>
      <w:lvlJc w:val="left"/>
      <w:pPr>
        <w:ind w:left="2268" w:hanging="2268"/>
      </w:pPr>
      <w:rPr>
        <w:rFonts w:hint="default"/>
      </w:rPr>
    </w:lvl>
    <w:lvl w:ilvl="8">
      <w:start w:val="1"/>
      <w:numFmt w:val="lowerRoman"/>
      <w:lvlText w:val="%9."/>
      <w:lvlJc w:val="right"/>
      <w:pPr>
        <w:ind w:left="2268" w:hanging="2268"/>
      </w:pPr>
      <w:rPr>
        <w:rFonts w:hint="default"/>
      </w:rPr>
    </w:lvl>
  </w:abstractNum>
  <w:num w:numId="1" w16cid:durableId="1361206283">
    <w:abstractNumId w:val="2"/>
  </w:num>
  <w:num w:numId="2" w16cid:durableId="545600677">
    <w:abstractNumId w:val="3"/>
  </w:num>
  <w:num w:numId="3" w16cid:durableId="1299147011">
    <w:abstractNumId w:val="4"/>
  </w:num>
  <w:num w:numId="4" w16cid:durableId="1501771948">
    <w:abstractNumId w:val="5"/>
  </w:num>
  <w:num w:numId="5" w16cid:durableId="556820789">
    <w:abstractNumId w:val="6"/>
  </w:num>
  <w:num w:numId="6" w16cid:durableId="2095126736">
    <w:abstractNumId w:val="7"/>
  </w:num>
  <w:num w:numId="7" w16cid:durableId="1435440616">
    <w:abstractNumId w:val="8"/>
  </w:num>
  <w:num w:numId="8" w16cid:durableId="1899240670">
    <w:abstractNumId w:val="9"/>
  </w:num>
  <w:num w:numId="9" w16cid:durableId="1607806446">
    <w:abstractNumId w:val="10"/>
  </w:num>
  <w:num w:numId="10" w16cid:durableId="614562843">
    <w:abstractNumId w:val="11"/>
  </w:num>
  <w:num w:numId="11" w16cid:durableId="1790003988">
    <w:abstractNumId w:val="12"/>
  </w:num>
  <w:num w:numId="12" w16cid:durableId="699361803">
    <w:abstractNumId w:val="13"/>
  </w:num>
  <w:num w:numId="13" w16cid:durableId="1925264602">
    <w:abstractNumId w:val="14"/>
  </w:num>
  <w:num w:numId="14" w16cid:durableId="1804107596">
    <w:abstractNumId w:val="15"/>
  </w:num>
  <w:num w:numId="15" w16cid:durableId="1244608247">
    <w:abstractNumId w:val="16"/>
  </w:num>
  <w:num w:numId="16" w16cid:durableId="1371999592">
    <w:abstractNumId w:val="18"/>
  </w:num>
  <w:num w:numId="17" w16cid:durableId="1757288371">
    <w:abstractNumId w:val="1"/>
  </w:num>
  <w:num w:numId="18" w16cid:durableId="223879419">
    <w:abstractNumId w:val="17"/>
  </w:num>
  <w:num w:numId="19" w16cid:durableId="673799619">
    <w:abstractNumId w:val="0"/>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evin Ketchman">
    <w15:presenceInfo w15:providerId="None" w15:userId="Kevin Ketchm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Y1NDe1NDKzMDQ2MjBU0lEKTi0uzszPAykwqgUARkFZgywAAAA="/>
  </w:docVars>
  <w:rsids>
    <w:rsidRoot w:val="00724033"/>
    <w:rsid w:val="00002523"/>
    <w:rsid w:val="000163F4"/>
    <w:rsid w:val="000274B9"/>
    <w:rsid w:val="000317D8"/>
    <w:rsid w:val="000413E8"/>
    <w:rsid w:val="00041AA5"/>
    <w:rsid w:val="00046703"/>
    <w:rsid w:val="00050F40"/>
    <w:rsid w:val="0006058A"/>
    <w:rsid w:val="00084B70"/>
    <w:rsid w:val="000A0C88"/>
    <w:rsid w:val="000C2EF9"/>
    <w:rsid w:val="000D4AB9"/>
    <w:rsid w:val="000E0419"/>
    <w:rsid w:val="000E0ECE"/>
    <w:rsid w:val="000F2C3E"/>
    <w:rsid w:val="000F5311"/>
    <w:rsid w:val="00105940"/>
    <w:rsid w:val="00134ABC"/>
    <w:rsid w:val="0013593F"/>
    <w:rsid w:val="00144B1E"/>
    <w:rsid w:val="00153DBC"/>
    <w:rsid w:val="00155088"/>
    <w:rsid w:val="00155875"/>
    <w:rsid w:val="00157D54"/>
    <w:rsid w:val="0016138F"/>
    <w:rsid w:val="00163ADE"/>
    <w:rsid w:val="00166745"/>
    <w:rsid w:val="00171C84"/>
    <w:rsid w:val="00172B87"/>
    <w:rsid w:val="00177788"/>
    <w:rsid w:val="00181175"/>
    <w:rsid w:val="00181DA9"/>
    <w:rsid w:val="00191389"/>
    <w:rsid w:val="001914EE"/>
    <w:rsid w:val="00193142"/>
    <w:rsid w:val="00196D76"/>
    <w:rsid w:val="001C32D6"/>
    <w:rsid w:val="001C4ACA"/>
    <w:rsid w:val="001C513E"/>
    <w:rsid w:val="001D5B3C"/>
    <w:rsid w:val="001E0E4B"/>
    <w:rsid w:val="001F1009"/>
    <w:rsid w:val="001F322C"/>
    <w:rsid w:val="001F4D82"/>
    <w:rsid w:val="002051EB"/>
    <w:rsid w:val="002114D1"/>
    <w:rsid w:val="002139E5"/>
    <w:rsid w:val="0021540D"/>
    <w:rsid w:val="00217D0E"/>
    <w:rsid w:val="002258A8"/>
    <w:rsid w:val="00237647"/>
    <w:rsid w:val="00241E2C"/>
    <w:rsid w:val="00250A79"/>
    <w:rsid w:val="002646BC"/>
    <w:rsid w:val="00267358"/>
    <w:rsid w:val="00267D29"/>
    <w:rsid w:val="00272A4F"/>
    <w:rsid w:val="002749C2"/>
    <w:rsid w:val="002936CD"/>
    <w:rsid w:val="00294548"/>
    <w:rsid w:val="002A35C7"/>
    <w:rsid w:val="002B3CAA"/>
    <w:rsid w:val="002B512D"/>
    <w:rsid w:val="002C1FF1"/>
    <w:rsid w:val="002E20E6"/>
    <w:rsid w:val="002E2AB7"/>
    <w:rsid w:val="00316B19"/>
    <w:rsid w:val="003308B0"/>
    <w:rsid w:val="003315C4"/>
    <w:rsid w:val="00332677"/>
    <w:rsid w:val="00344C36"/>
    <w:rsid w:val="00351734"/>
    <w:rsid w:val="00363CB8"/>
    <w:rsid w:val="00364EE9"/>
    <w:rsid w:val="00376D43"/>
    <w:rsid w:val="003924A0"/>
    <w:rsid w:val="003A3404"/>
    <w:rsid w:val="003A6058"/>
    <w:rsid w:val="003B615C"/>
    <w:rsid w:val="003C4811"/>
    <w:rsid w:val="003D1C9A"/>
    <w:rsid w:val="003F45B2"/>
    <w:rsid w:val="0040139D"/>
    <w:rsid w:val="00423A84"/>
    <w:rsid w:val="0042448A"/>
    <w:rsid w:val="00434F0D"/>
    <w:rsid w:val="00444BBD"/>
    <w:rsid w:val="0044544A"/>
    <w:rsid w:val="00455E81"/>
    <w:rsid w:val="00456518"/>
    <w:rsid w:val="004573DA"/>
    <w:rsid w:val="00464243"/>
    <w:rsid w:val="0046689E"/>
    <w:rsid w:val="00484152"/>
    <w:rsid w:val="004915EF"/>
    <w:rsid w:val="00494799"/>
    <w:rsid w:val="004A4F72"/>
    <w:rsid w:val="004C1522"/>
    <w:rsid w:val="004E232C"/>
    <w:rsid w:val="004E7EA5"/>
    <w:rsid w:val="004F7FA8"/>
    <w:rsid w:val="00503497"/>
    <w:rsid w:val="00503B5A"/>
    <w:rsid w:val="00513F8B"/>
    <w:rsid w:val="005210B0"/>
    <w:rsid w:val="00526CF2"/>
    <w:rsid w:val="005315C4"/>
    <w:rsid w:val="00531B1A"/>
    <w:rsid w:val="005350F7"/>
    <w:rsid w:val="00540D33"/>
    <w:rsid w:val="0054466C"/>
    <w:rsid w:val="005529E5"/>
    <w:rsid w:val="00556B05"/>
    <w:rsid w:val="00556D7B"/>
    <w:rsid w:val="00562306"/>
    <w:rsid w:val="005676FF"/>
    <w:rsid w:val="005709EF"/>
    <w:rsid w:val="00572CBA"/>
    <w:rsid w:val="00576403"/>
    <w:rsid w:val="005776D9"/>
    <w:rsid w:val="005877F6"/>
    <w:rsid w:val="005A28F5"/>
    <w:rsid w:val="005C754B"/>
    <w:rsid w:val="005D5C3E"/>
    <w:rsid w:val="005F02B5"/>
    <w:rsid w:val="005F120F"/>
    <w:rsid w:val="005F6832"/>
    <w:rsid w:val="006069C4"/>
    <w:rsid w:val="00607105"/>
    <w:rsid w:val="00614FF7"/>
    <w:rsid w:val="0063566D"/>
    <w:rsid w:val="0063604E"/>
    <w:rsid w:val="00641AF9"/>
    <w:rsid w:val="00645611"/>
    <w:rsid w:val="006463FA"/>
    <w:rsid w:val="00652535"/>
    <w:rsid w:val="00660CEF"/>
    <w:rsid w:val="0067044D"/>
    <w:rsid w:val="00670A38"/>
    <w:rsid w:val="0068154D"/>
    <w:rsid w:val="00684AA9"/>
    <w:rsid w:val="00690105"/>
    <w:rsid w:val="006A2679"/>
    <w:rsid w:val="006B2076"/>
    <w:rsid w:val="006B2FA7"/>
    <w:rsid w:val="006B3567"/>
    <w:rsid w:val="006D3C26"/>
    <w:rsid w:val="006D731A"/>
    <w:rsid w:val="006E68B0"/>
    <w:rsid w:val="00724033"/>
    <w:rsid w:val="00725A3A"/>
    <w:rsid w:val="00752054"/>
    <w:rsid w:val="007535FC"/>
    <w:rsid w:val="00767E6C"/>
    <w:rsid w:val="00772144"/>
    <w:rsid w:val="00786A5A"/>
    <w:rsid w:val="007B6DF3"/>
    <w:rsid w:val="007C320D"/>
    <w:rsid w:val="007C5AA1"/>
    <w:rsid w:val="007E54AE"/>
    <w:rsid w:val="00800BCD"/>
    <w:rsid w:val="0080549D"/>
    <w:rsid w:val="00806037"/>
    <w:rsid w:val="00815F70"/>
    <w:rsid w:val="00862AE1"/>
    <w:rsid w:val="00862AF0"/>
    <w:rsid w:val="00883750"/>
    <w:rsid w:val="008A0469"/>
    <w:rsid w:val="008B2F0D"/>
    <w:rsid w:val="008B573C"/>
    <w:rsid w:val="008D37DE"/>
    <w:rsid w:val="008E12F6"/>
    <w:rsid w:val="008E4050"/>
    <w:rsid w:val="008F0909"/>
    <w:rsid w:val="00900F0B"/>
    <w:rsid w:val="00904EE9"/>
    <w:rsid w:val="009236A2"/>
    <w:rsid w:val="00954350"/>
    <w:rsid w:val="00962988"/>
    <w:rsid w:val="009803B5"/>
    <w:rsid w:val="00980F9B"/>
    <w:rsid w:val="00985305"/>
    <w:rsid w:val="00985BB4"/>
    <w:rsid w:val="00994030"/>
    <w:rsid w:val="009A24AC"/>
    <w:rsid w:val="009D2B6A"/>
    <w:rsid w:val="009E5482"/>
    <w:rsid w:val="009F4BC0"/>
    <w:rsid w:val="009F5AAD"/>
    <w:rsid w:val="00A02BBA"/>
    <w:rsid w:val="00A1487D"/>
    <w:rsid w:val="00A14F20"/>
    <w:rsid w:val="00A15B19"/>
    <w:rsid w:val="00A31798"/>
    <w:rsid w:val="00A33424"/>
    <w:rsid w:val="00A3536F"/>
    <w:rsid w:val="00A4257C"/>
    <w:rsid w:val="00A46573"/>
    <w:rsid w:val="00A53C8F"/>
    <w:rsid w:val="00A5705E"/>
    <w:rsid w:val="00A63589"/>
    <w:rsid w:val="00A83BC4"/>
    <w:rsid w:val="00A85B8D"/>
    <w:rsid w:val="00A95C32"/>
    <w:rsid w:val="00A96735"/>
    <w:rsid w:val="00AA0F6E"/>
    <w:rsid w:val="00AA5DA7"/>
    <w:rsid w:val="00AB5038"/>
    <w:rsid w:val="00AB6E58"/>
    <w:rsid w:val="00AB79BD"/>
    <w:rsid w:val="00AB7C6D"/>
    <w:rsid w:val="00AC29AB"/>
    <w:rsid w:val="00AC5A96"/>
    <w:rsid w:val="00AE2204"/>
    <w:rsid w:val="00AF76DA"/>
    <w:rsid w:val="00B010C4"/>
    <w:rsid w:val="00B02B47"/>
    <w:rsid w:val="00B2393F"/>
    <w:rsid w:val="00B3791D"/>
    <w:rsid w:val="00B42FC3"/>
    <w:rsid w:val="00B51AF9"/>
    <w:rsid w:val="00B52C98"/>
    <w:rsid w:val="00B568AF"/>
    <w:rsid w:val="00B569B1"/>
    <w:rsid w:val="00B803B6"/>
    <w:rsid w:val="00B85543"/>
    <w:rsid w:val="00B87A6C"/>
    <w:rsid w:val="00B90C45"/>
    <w:rsid w:val="00BA2415"/>
    <w:rsid w:val="00BA3F6A"/>
    <w:rsid w:val="00BA6418"/>
    <w:rsid w:val="00BC1802"/>
    <w:rsid w:val="00BC6E39"/>
    <w:rsid w:val="00BD573A"/>
    <w:rsid w:val="00BE0286"/>
    <w:rsid w:val="00BE0CCC"/>
    <w:rsid w:val="00BE5299"/>
    <w:rsid w:val="00BF335D"/>
    <w:rsid w:val="00BF4B9E"/>
    <w:rsid w:val="00C07C0D"/>
    <w:rsid w:val="00C17C51"/>
    <w:rsid w:val="00C2344D"/>
    <w:rsid w:val="00C2664B"/>
    <w:rsid w:val="00C2694D"/>
    <w:rsid w:val="00C46EE4"/>
    <w:rsid w:val="00C5313F"/>
    <w:rsid w:val="00C54B21"/>
    <w:rsid w:val="00C60549"/>
    <w:rsid w:val="00C8284A"/>
    <w:rsid w:val="00C84A2D"/>
    <w:rsid w:val="00CB54CF"/>
    <w:rsid w:val="00CC265E"/>
    <w:rsid w:val="00CD79DD"/>
    <w:rsid w:val="00CE668D"/>
    <w:rsid w:val="00CF586F"/>
    <w:rsid w:val="00D0063A"/>
    <w:rsid w:val="00D075CA"/>
    <w:rsid w:val="00D23D91"/>
    <w:rsid w:val="00D27354"/>
    <w:rsid w:val="00D366FC"/>
    <w:rsid w:val="00D4188F"/>
    <w:rsid w:val="00D441D6"/>
    <w:rsid w:val="00D456E9"/>
    <w:rsid w:val="00D4579E"/>
    <w:rsid w:val="00D46027"/>
    <w:rsid w:val="00D46533"/>
    <w:rsid w:val="00D510A9"/>
    <w:rsid w:val="00D54F6F"/>
    <w:rsid w:val="00D63984"/>
    <w:rsid w:val="00D85F48"/>
    <w:rsid w:val="00DB79E2"/>
    <w:rsid w:val="00DC0F99"/>
    <w:rsid w:val="00DC7CD5"/>
    <w:rsid w:val="00DD2F88"/>
    <w:rsid w:val="00DE1031"/>
    <w:rsid w:val="00DF40C9"/>
    <w:rsid w:val="00E02F5E"/>
    <w:rsid w:val="00E04BF6"/>
    <w:rsid w:val="00E21C1F"/>
    <w:rsid w:val="00E358B7"/>
    <w:rsid w:val="00E51FB2"/>
    <w:rsid w:val="00E53385"/>
    <w:rsid w:val="00E5571C"/>
    <w:rsid w:val="00E601DE"/>
    <w:rsid w:val="00E6039A"/>
    <w:rsid w:val="00E65671"/>
    <w:rsid w:val="00E706F6"/>
    <w:rsid w:val="00E842FE"/>
    <w:rsid w:val="00E9259E"/>
    <w:rsid w:val="00E96C20"/>
    <w:rsid w:val="00EA21DB"/>
    <w:rsid w:val="00EB4CF4"/>
    <w:rsid w:val="00EF048B"/>
    <w:rsid w:val="00EF60AC"/>
    <w:rsid w:val="00F12E47"/>
    <w:rsid w:val="00F23723"/>
    <w:rsid w:val="00F41B77"/>
    <w:rsid w:val="00F51639"/>
    <w:rsid w:val="00F57E07"/>
    <w:rsid w:val="00F622D7"/>
    <w:rsid w:val="00F663ED"/>
    <w:rsid w:val="00F724A9"/>
    <w:rsid w:val="00F7299B"/>
    <w:rsid w:val="00F77B35"/>
    <w:rsid w:val="00F961E2"/>
    <w:rsid w:val="00FA39DF"/>
    <w:rsid w:val="00FD102C"/>
    <w:rsid w:val="00FD3655"/>
    <w:rsid w:val="00FD4291"/>
    <w:rsid w:val="00FD42FA"/>
    <w:rsid w:val="00FE3500"/>
    <w:rsid w:val="00FF1877"/>
    <w:rsid w:val="00FF346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0CE942"/>
  <w15:chartTrackingRefBased/>
  <w15:docId w15:val="{CEDDBBA0-8C30-4A09-8654-86E8C95C6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1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6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2B5"/>
    <w:rPr>
      <w:rFonts w:ascii="Franklin Gothic Book" w:eastAsia="Times New Roman" w:hAnsi="Franklin Gothic Book" w:cs="Times New Roman"/>
      <w:color w:val="4A4D56" w:themeColor="text1"/>
      <w:lang w:val="en-US"/>
    </w:rPr>
  </w:style>
  <w:style w:type="paragraph" w:styleId="Heading1">
    <w:name w:val="heading 1"/>
    <w:next w:val="Normal"/>
    <w:uiPriority w:val="9"/>
    <w:qFormat/>
    <w:rsid w:val="00690105"/>
    <w:pPr>
      <w:keepNext/>
      <w:keepLines/>
      <w:suppressAutoHyphens/>
      <w:spacing w:before="300" w:after="240" w:line="240" w:lineRule="auto"/>
      <w:outlineLvl w:val="0"/>
    </w:pPr>
    <w:rPr>
      <w:rFonts w:ascii="Rift Soft Medium" w:eastAsia="Times New Roman" w:hAnsi="Rift Soft Medium" w:cs="Times New Roman"/>
      <w:color w:val="053572"/>
      <w:sz w:val="44"/>
      <w:szCs w:val="24"/>
      <w:lang w:val="en-US"/>
    </w:rPr>
  </w:style>
  <w:style w:type="paragraph" w:styleId="Heading2">
    <w:name w:val="heading 2"/>
    <w:basedOn w:val="Heading1"/>
    <w:next w:val="Normal"/>
    <w:uiPriority w:val="9"/>
    <w:qFormat/>
    <w:rsid w:val="00BA2415"/>
    <w:pPr>
      <w:numPr>
        <w:ilvl w:val="1"/>
      </w:numPr>
      <w:outlineLvl w:val="1"/>
    </w:pPr>
    <w:rPr>
      <w:color w:val="416DCB" w:themeColor="accent1" w:themeTint="99"/>
      <w:sz w:val="40"/>
    </w:rPr>
  </w:style>
  <w:style w:type="paragraph" w:styleId="Heading3">
    <w:name w:val="heading 3"/>
    <w:basedOn w:val="Heading1"/>
    <w:next w:val="Normal"/>
    <w:uiPriority w:val="9"/>
    <w:qFormat/>
    <w:rsid w:val="006463FA"/>
    <w:pPr>
      <w:numPr>
        <w:ilvl w:val="2"/>
      </w:numPr>
      <w:outlineLvl w:val="2"/>
    </w:pPr>
    <w:rPr>
      <w:color w:val="1FA9E1" w:themeColor="accent3"/>
      <w:sz w:val="36"/>
    </w:rPr>
  </w:style>
  <w:style w:type="paragraph" w:styleId="Heading4">
    <w:name w:val="heading 4"/>
    <w:basedOn w:val="Normal"/>
    <w:uiPriority w:val="9"/>
    <w:qFormat/>
    <w:rsid w:val="006463FA"/>
    <w:pPr>
      <w:spacing w:before="240" w:after="180"/>
      <w:outlineLvl w:val="3"/>
    </w:pPr>
    <w:rPr>
      <w:rFonts w:ascii="Rift Soft Medium" w:hAnsi="Rift Soft Medium" w:cs="Arial"/>
      <w:bCs/>
      <w:color w:val="053572" w:themeColor="text2"/>
      <w:sz w:val="32"/>
      <w:szCs w:val="24"/>
    </w:rPr>
  </w:style>
  <w:style w:type="paragraph" w:styleId="Heading5">
    <w:name w:val="heading 5"/>
    <w:basedOn w:val="Heading4"/>
    <w:uiPriority w:val="9"/>
    <w:rsid w:val="005F02B5"/>
    <w:pPr>
      <w:spacing w:after="160"/>
      <w:outlineLvl w:val="4"/>
    </w:pPr>
    <w:rPr>
      <w:rFonts w:ascii="Franklin Gothic Medium" w:hAnsi="Franklin Gothic Medium"/>
      <w:iCs/>
      <w:color w:val="416DCB" w:themeColor="accent1" w:themeTint="99"/>
      <w:sz w:val="26"/>
      <w:szCs w:val="22"/>
    </w:rPr>
  </w:style>
  <w:style w:type="paragraph" w:styleId="Heading6">
    <w:name w:val="heading 6"/>
    <w:uiPriority w:val="9"/>
    <w:rsid w:val="005F02B5"/>
    <w:pPr>
      <w:spacing w:after="120"/>
      <w:outlineLvl w:val="5"/>
    </w:pPr>
    <w:rPr>
      <w:rFonts w:ascii="Franklin Gothic Medium" w:eastAsia="Times New Roman" w:hAnsi="Franklin Gothic Medium" w:cs="Arial"/>
      <w:bCs/>
      <w:iCs/>
      <w:color w:val="1FA9E1" w:themeColor="accent3"/>
      <w:szCs w:val="21"/>
      <w:lang w:val="en-US"/>
    </w:rPr>
  </w:style>
  <w:style w:type="paragraph" w:styleId="Heading7">
    <w:name w:val="heading 7"/>
    <w:basedOn w:val="Heading6"/>
    <w:next w:val="Normal"/>
    <w:uiPriority w:val="2"/>
    <w:semiHidden/>
    <w:rsid w:val="006463FA"/>
    <w:pPr>
      <w:outlineLvl w:val="6"/>
    </w:pPr>
    <w:rPr>
      <w:rFonts w:asciiTheme="majorHAnsi" w:hAnsiTheme="majorHAnsi"/>
      <w:bCs w:val="0"/>
      <w:color w:val="053572" w:themeColor="text2"/>
      <w:sz w:val="28"/>
      <w:szCs w:val="28"/>
    </w:rPr>
  </w:style>
  <w:style w:type="paragraph" w:styleId="Heading8">
    <w:name w:val="heading 8"/>
    <w:basedOn w:val="Normal"/>
    <w:next w:val="Normal"/>
    <w:uiPriority w:val="2"/>
    <w:semiHidden/>
    <w:rsid w:val="00BA2415"/>
    <w:pPr>
      <w:outlineLvl w:val="7"/>
    </w:pPr>
    <w:rPr>
      <w:rFonts w:asciiTheme="majorHAnsi" w:hAnsiTheme="majorHAnsi"/>
      <w:color w:val="416DCB" w:themeColor="accent1" w:themeTint="99"/>
      <w:sz w:val="24"/>
      <w:szCs w:val="24"/>
    </w:rPr>
  </w:style>
  <w:style w:type="paragraph" w:styleId="Heading9">
    <w:name w:val="heading 9"/>
    <w:basedOn w:val="Heading8"/>
    <w:next w:val="Normal"/>
    <w:uiPriority w:val="2"/>
    <w:semiHidden/>
    <w:rsid w:val="00454842"/>
    <w:pPr>
      <w:outlineLvl w:val="8"/>
    </w:pPr>
    <w:rPr>
      <w:color w:val="6B9BDE" w:themeColor="accent2" w:themeTint="99"/>
      <w:sz w:val="22"/>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AHeading">
    <w:name w:val="toa heading"/>
    <w:next w:val="Normal"/>
    <w:uiPriority w:val="99"/>
    <w:semiHidden/>
    <w:rsid w:val="003C4811"/>
    <w:pPr>
      <w:tabs>
        <w:tab w:val="right" w:leader="dot" w:pos="10070"/>
      </w:tabs>
      <w:spacing w:before="120" w:after="120"/>
      <w:ind w:right="-4"/>
    </w:pPr>
    <w:rPr>
      <w:rFonts w:ascii="Rift Soft" w:eastAsia="Times New Roman" w:hAnsi="Rift Soft" w:cs="Times New Roman"/>
      <w:color w:val="053572"/>
      <w:sz w:val="48"/>
      <w:szCs w:val="48"/>
      <w:lang w:val="en-US"/>
    </w:rPr>
  </w:style>
  <w:style w:type="character" w:styleId="Strong">
    <w:name w:val="Strong"/>
    <w:aliases w:val="Resume Style 1"/>
    <w:uiPriority w:val="22"/>
    <w:semiHidden/>
    <w:qFormat/>
    <w:rsid w:val="006463FA"/>
    <w:rPr>
      <w:rFonts w:ascii="Franklin Gothic Medium" w:hAnsi="Franklin Gothic Medium"/>
      <w:color w:val="053572" w:themeColor="text2"/>
      <w:sz w:val="24"/>
    </w:rPr>
  </w:style>
  <w:style w:type="paragraph" w:styleId="BalloonText">
    <w:name w:val="Balloon Text"/>
    <w:basedOn w:val="Normal"/>
    <w:semiHidden/>
    <w:rsid w:val="00B51ADD"/>
    <w:rPr>
      <w:rFonts w:ascii="Tahoma" w:hAnsi="Tahoma" w:cs="Tahoma"/>
      <w:sz w:val="16"/>
      <w:szCs w:val="16"/>
    </w:rPr>
  </w:style>
  <w:style w:type="paragraph" w:customStyle="1" w:styleId="Bullet1">
    <w:name w:val="Bullet 1"/>
    <w:basedOn w:val="Normal"/>
    <w:next w:val="Normal"/>
    <w:uiPriority w:val="99"/>
    <w:semiHidden/>
    <w:qFormat/>
    <w:rsid w:val="00F54AE8"/>
    <w:pPr>
      <w:numPr>
        <w:numId w:val="1"/>
      </w:numPr>
      <w:tabs>
        <w:tab w:val="num" w:pos="360"/>
      </w:tabs>
      <w:spacing w:after="120"/>
      <w:ind w:left="0" w:firstLine="0"/>
    </w:pPr>
  </w:style>
  <w:style w:type="paragraph" w:customStyle="1" w:styleId="Bullet2">
    <w:name w:val="Bullet 2"/>
    <w:basedOn w:val="Normal"/>
    <w:next w:val="Normal"/>
    <w:uiPriority w:val="99"/>
    <w:semiHidden/>
    <w:qFormat/>
    <w:rsid w:val="00F54AE8"/>
    <w:pPr>
      <w:numPr>
        <w:ilvl w:val="1"/>
        <w:numId w:val="2"/>
      </w:numPr>
      <w:tabs>
        <w:tab w:val="num" w:pos="360"/>
      </w:tabs>
      <w:spacing w:after="120"/>
      <w:ind w:left="0" w:firstLine="0"/>
    </w:pPr>
  </w:style>
  <w:style w:type="paragraph" w:customStyle="1" w:styleId="Bullet3">
    <w:name w:val="Bullet 3"/>
    <w:basedOn w:val="Normal"/>
    <w:next w:val="Normal"/>
    <w:uiPriority w:val="99"/>
    <w:semiHidden/>
    <w:qFormat/>
    <w:rsid w:val="00F54AE8"/>
    <w:pPr>
      <w:numPr>
        <w:ilvl w:val="2"/>
        <w:numId w:val="3"/>
      </w:numPr>
      <w:spacing w:after="120"/>
    </w:pPr>
  </w:style>
  <w:style w:type="paragraph" w:customStyle="1" w:styleId="CaptionFigure">
    <w:name w:val="Caption Figure"/>
    <w:uiPriority w:val="99"/>
    <w:semiHidden/>
    <w:qFormat/>
    <w:locked/>
    <w:rsid w:val="000C2EF9"/>
    <w:pPr>
      <w:keepNext/>
      <w:numPr>
        <w:numId w:val="4"/>
      </w:numPr>
      <w:spacing w:before="200" w:after="80" w:line="240" w:lineRule="auto"/>
      <w:jc w:val="center"/>
    </w:pPr>
    <w:rPr>
      <w:rFonts w:eastAsia="Times New Roman" w:cs="Times New Roman"/>
      <w:bCs/>
      <w:color w:val="4A4D56" w:themeColor="text1"/>
      <w:szCs w:val="20"/>
      <w:lang w:val="en-US"/>
    </w:rPr>
  </w:style>
  <w:style w:type="paragraph" w:customStyle="1" w:styleId="CaptionTable">
    <w:name w:val="Caption Table"/>
    <w:uiPriority w:val="99"/>
    <w:semiHidden/>
    <w:qFormat/>
    <w:locked/>
    <w:rsid w:val="000C2EF9"/>
    <w:pPr>
      <w:keepNext/>
      <w:numPr>
        <w:numId w:val="5"/>
      </w:numPr>
      <w:spacing w:before="200" w:after="80" w:line="240" w:lineRule="auto"/>
      <w:jc w:val="center"/>
    </w:pPr>
    <w:rPr>
      <w:rFonts w:eastAsia="Times New Roman" w:cs="Times New Roman"/>
      <w:bCs/>
      <w:color w:val="4A4D56" w:themeColor="text1"/>
      <w:szCs w:val="20"/>
      <w:lang w:val="en-US"/>
    </w:rPr>
  </w:style>
  <w:style w:type="paragraph" w:customStyle="1" w:styleId="CenterTableText">
    <w:name w:val="Center Table Text"/>
    <w:uiPriority w:val="14"/>
    <w:semiHidden/>
    <w:rsid w:val="00BD0DC6"/>
    <w:pPr>
      <w:spacing w:after="0" w:line="240" w:lineRule="auto"/>
      <w:jc w:val="center"/>
    </w:pPr>
    <w:rPr>
      <w:rFonts w:ascii="Franklin Gothic Book" w:eastAsia="Times New Roman" w:hAnsi="Franklin Gothic Book" w:cs="Times New Roman"/>
      <w:sz w:val="20"/>
      <w:lang w:val="en-US"/>
    </w:rPr>
  </w:style>
  <w:style w:type="paragraph" w:customStyle="1" w:styleId="TOC3Style">
    <w:name w:val="TOC 3 Style"/>
    <w:semiHidden/>
    <w:rsid w:val="001C4ACA"/>
    <w:pPr>
      <w:tabs>
        <w:tab w:val="right" w:leader="dot" w:pos="9360"/>
      </w:tabs>
      <w:spacing w:before="100"/>
      <w:ind w:left="1584" w:right="-4" w:hanging="648"/>
    </w:pPr>
    <w:rPr>
      <w:rFonts w:ascii="Franklin Gothic Book" w:eastAsia="Times New Roman" w:hAnsi="Franklin Gothic Book" w:cs="Times New Roman"/>
      <w:color w:val="4A4D56" w:themeColor="text1"/>
      <w:szCs w:val="20"/>
      <w:lang w:val="en-US"/>
    </w:rPr>
  </w:style>
  <w:style w:type="paragraph" w:styleId="CommentSubject">
    <w:name w:val="annotation subject"/>
    <w:semiHidden/>
    <w:rsid w:val="00B51ADD"/>
    <w:pPr>
      <w:spacing w:before="200" w:line="240" w:lineRule="auto"/>
      <w:jc w:val="both"/>
    </w:pPr>
    <w:rPr>
      <w:rFonts w:ascii="Franklin Gothic Book" w:eastAsia="Times New Roman" w:hAnsi="Franklin Gothic Book" w:cs="Times New Roman"/>
      <w:b/>
      <w:bCs/>
      <w:sz w:val="20"/>
      <w:szCs w:val="20"/>
      <w:lang w:val="en-US"/>
    </w:rPr>
  </w:style>
  <w:style w:type="paragraph" w:styleId="CommentText">
    <w:name w:val="annotation text"/>
    <w:basedOn w:val="Normal"/>
    <w:uiPriority w:val="99"/>
    <w:semiHidden/>
    <w:rsid w:val="00B51ADD"/>
    <w:rPr>
      <w:sz w:val="20"/>
      <w:szCs w:val="20"/>
    </w:rPr>
  </w:style>
  <w:style w:type="character" w:styleId="Emphasis">
    <w:name w:val="Emphasis"/>
    <w:basedOn w:val="DefaultParagraphFont"/>
    <w:uiPriority w:val="4"/>
    <w:qFormat/>
    <w:rsid w:val="00B51ADD"/>
    <w:rPr>
      <w:i/>
      <w:iCs/>
    </w:rPr>
  </w:style>
  <w:style w:type="paragraph" w:styleId="EndnoteText">
    <w:name w:val="endnote text"/>
    <w:basedOn w:val="Normal"/>
    <w:uiPriority w:val="69"/>
    <w:rsid w:val="002A6F47"/>
    <w:pPr>
      <w:spacing w:after="0"/>
    </w:pPr>
    <w:rPr>
      <w:sz w:val="18"/>
      <w:szCs w:val="20"/>
    </w:rPr>
  </w:style>
  <w:style w:type="paragraph" w:customStyle="1" w:styleId="FigureCaption">
    <w:name w:val="Figure_Caption"/>
    <w:basedOn w:val="Normal"/>
    <w:next w:val="Normal"/>
    <w:uiPriority w:val="3"/>
    <w:semiHidden/>
    <w:qFormat/>
    <w:locked/>
    <w:rsid w:val="00B51ADD"/>
    <w:pPr>
      <w:keepNext/>
      <w:keepLines/>
      <w:suppressAutoHyphens/>
      <w:spacing w:before="320" w:after="120"/>
      <w:jc w:val="center"/>
    </w:pPr>
    <w:rPr>
      <w:b/>
    </w:rPr>
  </w:style>
  <w:style w:type="character" w:styleId="FollowedHyperlink">
    <w:name w:val="FollowedHyperlink"/>
    <w:basedOn w:val="DefaultParagraphFont"/>
    <w:uiPriority w:val="69"/>
    <w:rsid w:val="001C4ACA"/>
    <w:rPr>
      <w:rFonts w:asciiTheme="minorHAnsi" w:hAnsiTheme="minorHAnsi"/>
      <w:color w:val="5661AC" w:themeColor="accent5"/>
      <w:sz w:val="22"/>
      <w:u w:val="single"/>
    </w:rPr>
  </w:style>
  <w:style w:type="character" w:styleId="FootnoteReference">
    <w:name w:val="footnote reference"/>
    <w:basedOn w:val="DefaultParagraphFont"/>
    <w:uiPriority w:val="69"/>
    <w:rsid w:val="00B51ADD"/>
    <w:rPr>
      <w:vertAlign w:val="superscript"/>
    </w:rPr>
  </w:style>
  <w:style w:type="paragraph" w:styleId="FootnoteText">
    <w:name w:val="footnote text"/>
    <w:basedOn w:val="Normal"/>
    <w:link w:val="FootnoteTextChar"/>
    <w:uiPriority w:val="69"/>
    <w:rsid w:val="002A6F47"/>
    <w:pPr>
      <w:spacing w:after="0"/>
    </w:pPr>
    <w:rPr>
      <w:sz w:val="18"/>
      <w:szCs w:val="20"/>
    </w:rPr>
  </w:style>
  <w:style w:type="paragraph" w:customStyle="1" w:styleId="GraphFootnote">
    <w:name w:val="Graph Footnote"/>
    <w:basedOn w:val="Normal"/>
    <w:next w:val="Normal"/>
    <w:uiPriority w:val="99"/>
    <w:semiHidden/>
    <w:locked/>
    <w:rsid w:val="00B51ADD"/>
    <w:pPr>
      <w:spacing w:after="0"/>
    </w:pPr>
    <w:rPr>
      <w:rFonts w:ascii="Times New Roman" w:hAnsi="Times New Roman"/>
      <w:i/>
      <w:sz w:val="18"/>
    </w:rPr>
  </w:style>
  <w:style w:type="table" w:styleId="GridTable1Light-Accent1">
    <w:name w:val="Grid Table 1 Light Accent 1"/>
    <w:basedOn w:val="TableNormal"/>
    <w:uiPriority w:val="46"/>
    <w:locked/>
    <w:rsid w:val="00D721EA"/>
    <w:pPr>
      <w:spacing w:before="200" w:after="0" w:line="240" w:lineRule="auto"/>
    </w:pPr>
    <w:rPr>
      <w:rFonts w:ascii="Franklin Gothic Book" w:eastAsia="Times New Roman" w:hAnsi="Franklin Gothic Book" w:cs="Times New Roman"/>
      <w:lang w:val="en-US"/>
    </w:rPr>
    <w:tblPr>
      <w:tblStyleRowBandSize w:val="1"/>
      <w:tblStyleColBandSize w:val="1"/>
      <w:tblBorders>
        <w:top w:val="single" w:sz="4" w:space="0" w:color="809EDC" w:themeColor="accent1" w:themeTint="66"/>
        <w:left w:val="single" w:sz="4" w:space="0" w:color="809EDC" w:themeColor="accent1" w:themeTint="66"/>
        <w:bottom w:val="single" w:sz="4" w:space="0" w:color="809EDC" w:themeColor="accent1" w:themeTint="66"/>
        <w:right w:val="single" w:sz="4" w:space="0" w:color="809EDC" w:themeColor="accent1" w:themeTint="66"/>
        <w:insideH w:val="single" w:sz="4" w:space="0" w:color="809EDC" w:themeColor="accent1" w:themeTint="66"/>
        <w:insideV w:val="single" w:sz="4" w:space="0" w:color="809EDC" w:themeColor="accent1" w:themeTint="66"/>
      </w:tblBorders>
    </w:tblPr>
    <w:tblStylePr w:type="firstRow">
      <w:rPr>
        <w:b/>
        <w:bCs/>
      </w:rPr>
      <w:tblPr/>
      <w:tcPr>
        <w:tcBorders>
          <w:bottom w:val="single" w:sz="12" w:space="0" w:color="416DCB" w:themeColor="accent1" w:themeTint="99"/>
        </w:tcBorders>
      </w:tcPr>
    </w:tblStylePr>
    <w:tblStylePr w:type="lastRow">
      <w:rPr>
        <w:b/>
        <w:bCs/>
      </w:rPr>
      <w:tblPr/>
      <w:tcPr>
        <w:tcBorders>
          <w:top w:val="double" w:sz="2" w:space="0" w:color="416DCB" w:themeColor="accent1" w:themeTint="99"/>
        </w:tcBorders>
      </w:tcPr>
    </w:tblStylePr>
    <w:tblStylePr w:type="firstCol">
      <w:rPr>
        <w:b/>
        <w:bCs/>
      </w:rPr>
    </w:tblStylePr>
    <w:tblStylePr w:type="lastCol">
      <w:rPr>
        <w:b/>
        <w:bCs/>
      </w:rPr>
    </w:tblStylePr>
  </w:style>
  <w:style w:type="paragraph" w:customStyle="1" w:styleId="Headernone">
    <w:name w:val="Header_none"/>
    <w:uiPriority w:val="1"/>
    <w:semiHidden/>
    <w:locked/>
    <w:rsid w:val="00B51ADD"/>
    <w:pPr>
      <w:tabs>
        <w:tab w:val="right" w:pos="9360"/>
      </w:tabs>
      <w:spacing w:before="200" w:line="240" w:lineRule="auto"/>
      <w:jc w:val="both"/>
    </w:pPr>
    <w:rPr>
      <w:rFonts w:ascii="Franklin Gothic Book" w:eastAsia="Times New Roman" w:hAnsi="Franklin Gothic Book" w:cs="Times New Roman"/>
      <w:i/>
      <w:noProof/>
      <w:sz w:val="16"/>
      <w:szCs w:val="16"/>
      <w:lang w:val="en-US"/>
    </w:rPr>
  </w:style>
  <w:style w:type="character" w:styleId="Hyperlink">
    <w:name w:val="Hyperlink"/>
    <w:basedOn w:val="DefaultParagraphFont"/>
    <w:uiPriority w:val="99"/>
    <w:rsid w:val="001C4ACA"/>
    <w:rPr>
      <w:rFonts w:asciiTheme="minorHAnsi" w:hAnsiTheme="minorHAnsi"/>
      <w:noProof/>
      <w:color w:val="5661AC" w:themeColor="accent5"/>
      <w:sz w:val="22"/>
      <w:u w:val="single"/>
    </w:rPr>
  </w:style>
  <w:style w:type="paragraph" w:styleId="Index1">
    <w:name w:val="index 1"/>
    <w:basedOn w:val="Normal"/>
    <w:next w:val="Normal"/>
    <w:autoRedefine/>
    <w:semiHidden/>
    <w:rsid w:val="00B51ADD"/>
    <w:pPr>
      <w:ind w:left="240" w:hanging="240"/>
    </w:pPr>
  </w:style>
  <w:style w:type="character" w:styleId="IntenseEmphasis">
    <w:name w:val="Intense Emphasis"/>
    <w:aliases w:val="Emphasis (Intense)"/>
    <w:basedOn w:val="DefaultParagraphFont"/>
    <w:uiPriority w:val="4"/>
    <w:rsid w:val="005529E5"/>
    <w:rPr>
      <w:rFonts w:ascii="Franklin Gothic Demi" w:hAnsi="Franklin Gothic Demi"/>
      <w:b w:val="0"/>
      <w:i w:val="0"/>
      <w:iCs/>
      <w:color w:val="4A4D56" w:themeColor="text1"/>
      <w:sz w:val="22"/>
    </w:rPr>
  </w:style>
  <w:style w:type="paragraph" w:styleId="ListBullet">
    <w:name w:val="List Bullet"/>
    <w:basedOn w:val="Normal"/>
    <w:uiPriority w:val="9"/>
    <w:qFormat/>
    <w:rsid w:val="002E20E6"/>
    <w:pPr>
      <w:numPr>
        <w:numId w:val="14"/>
      </w:numPr>
      <w:spacing w:before="120" w:after="120"/>
      <w:ind w:left="465" w:hanging="285"/>
    </w:pPr>
  </w:style>
  <w:style w:type="paragraph" w:styleId="ListBullet2">
    <w:name w:val="List Bullet 2"/>
    <w:uiPriority w:val="9"/>
    <w:qFormat/>
    <w:rsid w:val="001C32D6"/>
    <w:pPr>
      <w:numPr>
        <w:ilvl w:val="1"/>
        <w:numId w:val="14"/>
      </w:numPr>
      <w:spacing w:before="120" w:after="120"/>
      <w:ind w:left="735" w:hanging="285"/>
    </w:pPr>
    <w:rPr>
      <w:rFonts w:ascii="Franklin Gothic Book" w:eastAsia="Times New Roman" w:hAnsi="Franklin Gothic Book" w:cs="Times New Roman"/>
      <w:color w:val="4A4D56" w:themeColor="text1"/>
      <w:lang w:val="en-US"/>
    </w:rPr>
  </w:style>
  <w:style w:type="paragraph" w:styleId="ListBullet3">
    <w:name w:val="List Bullet 3"/>
    <w:uiPriority w:val="9"/>
    <w:qFormat/>
    <w:rsid w:val="001C32D6"/>
    <w:pPr>
      <w:numPr>
        <w:ilvl w:val="2"/>
        <w:numId w:val="14"/>
      </w:numPr>
      <w:spacing w:before="120" w:after="120"/>
      <w:ind w:left="1035" w:hanging="285"/>
    </w:pPr>
    <w:rPr>
      <w:rFonts w:ascii="Franklin Gothic Book" w:eastAsia="Times New Roman" w:hAnsi="Franklin Gothic Book" w:cs="Times New Roman"/>
      <w:color w:val="4A4D56" w:themeColor="text1"/>
      <w:lang w:val="en-US"/>
    </w:rPr>
  </w:style>
  <w:style w:type="paragraph" w:styleId="ListNumber">
    <w:name w:val="List Number"/>
    <w:basedOn w:val="Normal"/>
    <w:uiPriority w:val="99"/>
    <w:semiHidden/>
    <w:rsid w:val="00351E32"/>
    <w:pPr>
      <w:numPr>
        <w:numId w:val="7"/>
      </w:numPr>
      <w:spacing w:after="120"/>
    </w:pPr>
  </w:style>
  <w:style w:type="paragraph" w:styleId="ListNumber2">
    <w:name w:val="List Number 2"/>
    <w:basedOn w:val="Normal"/>
    <w:uiPriority w:val="99"/>
    <w:semiHidden/>
    <w:rsid w:val="00351E32"/>
    <w:pPr>
      <w:numPr>
        <w:numId w:val="8"/>
      </w:numPr>
      <w:spacing w:after="120"/>
    </w:pPr>
  </w:style>
  <w:style w:type="paragraph" w:styleId="ListNumber3">
    <w:name w:val="List Number 3"/>
    <w:basedOn w:val="Normal"/>
    <w:uiPriority w:val="99"/>
    <w:semiHidden/>
    <w:rsid w:val="004D778A"/>
    <w:pPr>
      <w:numPr>
        <w:numId w:val="9"/>
      </w:numPr>
      <w:contextualSpacing/>
    </w:pPr>
  </w:style>
  <w:style w:type="paragraph" w:customStyle="1" w:styleId="ListNumber1">
    <w:name w:val="List Number1"/>
    <w:basedOn w:val="Normal"/>
    <w:uiPriority w:val="99"/>
    <w:semiHidden/>
    <w:locked/>
    <w:rsid w:val="00351E32"/>
    <w:pPr>
      <w:tabs>
        <w:tab w:val="num" w:pos="360"/>
      </w:tabs>
      <w:spacing w:after="120"/>
      <w:ind w:left="360" w:hanging="360"/>
    </w:pPr>
  </w:style>
  <w:style w:type="paragraph" w:styleId="ListParagraph">
    <w:name w:val="List Paragraph"/>
    <w:basedOn w:val="Normal"/>
    <w:uiPriority w:val="1"/>
    <w:semiHidden/>
    <w:rsid w:val="00BD0DC6"/>
    <w:pPr>
      <w:ind w:left="720"/>
      <w:contextualSpacing/>
    </w:pPr>
  </w:style>
  <w:style w:type="table" w:styleId="ListTable7Colorful-Accent1">
    <w:name w:val="List Table 7 Colorful Accent 1"/>
    <w:basedOn w:val="TableNormal"/>
    <w:uiPriority w:val="52"/>
    <w:locked/>
    <w:rsid w:val="006B3D7D"/>
    <w:pPr>
      <w:spacing w:after="0" w:line="240" w:lineRule="auto"/>
    </w:pPr>
    <w:rPr>
      <w:rFonts w:ascii="Franklin Gothic Book" w:eastAsia="Franklin Gothic Book" w:hAnsi="Franklin Gothic Book" w:cs="Times New Roman"/>
      <w:color w:val="032755"/>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72B5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72B5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72B5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72B54" w:themeColor="accent1"/>
        </w:tcBorders>
        <w:shd w:val="clear" w:color="auto" w:fill="FFFFFF" w:themeFill="background1"/>
      </w:tcPr>
    </w:tblStylePr>
    <w:tblStylePr w:type="band1Vert">
      <w:tblPr/>
      <w:tcPr>
        <w:shd w:val="clear" w:color="auto" w:fill="BFCEED" w:themeFill="accent1" w:themeFillTint="33"/>
      </w:tcPr>
    </w:tblStylePr>
    <w:tblStylePr w:type="band1Horz">
      <w:tblPr/>
      <w:tcPr>
        <w:shd w:val="clear" w:color="auto" w:fill="BFCEE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NoList1">
    <w:name w:val="No. List 1"/>
    <w:uiPriority w:val="9"/>
    <w:rsid w:val="00E65671"/>
    <w:pPr>
      <w:numPr>
        <w:numId w:val="10"/>
      </w:numPr>
      <w:spacing w:after="120" w:line="240" w:lineRule="auto"/>
      <w:jc w:val="both"/>
    </w:pPr>
    <w:rPr>
      <w:rFonts w:ascii="Franklin Gothic Book" w:eastAsia="Times New Roman" w:hAnsi="Franklin Gothic Book" w:cs="Times New Roman"/>
      <w:color w:val="4A4D56" w:themeColor="text1"/>
      <w:lang w:val="en-US"/>
    </w:rPr>
  </w:style>
  <w:style w:type="paragraph" w:customStyle="1" w:styleId="NoList2">
    <w:name w:val="No. List 2"/>
    <w:uiPriority w:val="9"/>
    <w:rsid w:val="00E65671"/>
    <w:pPr>
      <w:numPr>
        <w:ilvl w:val="1"/>
        <w:numId w:val="11"/>
      </w:numPr>
      <w:spacing w:after="120" w:line="240" w:lineRule="auto"/>
      <w:jc w:val="both"/>
    </w:pPr>
    <w:rPr>
      <w:rFonts w:ascii="Franklin Gothic Book" w:eastAsia="Times New Roman" w:hAnsi="Franklin Gothic Book" w:cs="Times New Roman"/>
      <w:color w:val="4A4D56" w:themeColor="text1"/>
      <w:lang w:val="en-US"/>
    </w:rPr>
  </w:style>
  <w:style w:type="paragraph" w:customStyle="1" w:styleId="NoList3">
    <w:name w:val="No. List 3"/>
    <w:uiPriority w:val="9"/>
    <w:rsid w:val="00E65671"/>
    <w:pPr>
      <w:numPr>
        <w:ilvl w:val="2"/>
        <w:numId w:val="12"/>
      </w:numPr>
      <w:spacing w:after="120" w:line="240" w:lineRule="auto"/>
      <w:jc w:val="both"/>
    </w:pPr>
    <w:rPr>
      <w:rFonts w:ascii="Franklin Gothic Book" w:eastAsia="Times New Roman" w:hAnsi="Franklin Gothic Book" w:cs="Times New Roman"/>
      <w:color w:val="4A4D56" w:themeColor="text1"/>
      <w:lang w:val="en-US"/>
    </w:rPr>
  </w:style>
  <w:style w:type="paragraph" w:styleId="NormalWeb">
    <w:name w:val="Normal (Web)"/>
    <w:basedOn w:val="Normal"/>
    <w:uiPriority w:val="99"/>
    <w:semiHidden/>
    <w:rsid w:val="00B51ADD"/>
    <w:pPr>
      <w:spacing w:before="100" w:beforeAutospacing="1" w:after="100" w:afterAutospacing="1"/>
    </w:pPr>
    <w:rPr>
      <w:rFonts w:ascii="Times New Roman" w:hAnsi="Times New Roman"/>
    </w:rPr>
  </w:style>
  <w:style w:type="paragraph" w:customStyle="1" w:styleId="NormalCenter">
    <w:name w:val="Normal Center"/>
    <w:basedOn w:val="Normal"/>
    <w:uiPriority w:val="1"/>
    <w:rsid w:val="001E1344"/>
    <w:pPr>
      <w:jc w:val="center"/>
    </w:pPr>
    <w:rPr>
      <w:noProof/>
    </w:rPr>
  </w:style>
  <w:style w:type="numbering" w:customStyle="1" w:styleId="ODBulletList">
    <w:name w:val="OD Bullet List"/>
    <w:uiPriority w:val="99"/>
    <w:rsid w:val="0028728B"/>
  </w:style>
  <w:style w:type="numbering" w:customStyle="1" w:styleId="ODNumberList">
    <w:name w:val="OD Number List"/>
    <w:uiPriority w:val="99"/>
    <w:rsid w:val="00BD0DC6"/>
  </w:style>
  <w:style w:type="table" w:customStyle="1" w:styleId="ODCBasic-1">
    <w:name w:val="ODC_Basic-1"/>
    <w:basedOn w:val="TableNormal"/>
    <w:uiPriority w:val="99"/>
    <w:qFormat/>
    <w:rsid w:val="00E6039A"/>
    <w:pPr>
      <w:spacing w:after="0" w:line="240" w:lineRule="auto"/>
    </w:pPr>
    <w:rPr>
      <w:rFonts w:ascii="Franklin Gothic Book" w:eastAsia="Times New Roman" w:hAnsi="Franklin Gothic Book" w:cs="Times New Roman"/>
      <w:color w:val="FFFFFF" w:themeColor="background1"/>
      <w:sz w:val="18"/>
      <w:szCs w:val="20"/>
      <w:lang w:val="en-US"/>
    </w:rPr>
    <w:tblPr>
      <w:tblStyleRowBandSize w:val="1"/>
      <w:tblStyleColBandSize w:val="1"/>
      <w:jc w:val="center"/>
      <w:tblBorders>
        <w:top w:val="single" w:sz="4" w:space="0" w:color="4D4D4F"/>
        <w:left w:val="single" w:sz="4" w:space="0" w:color="4D4D4F"/>
        <w:bottom w:val="single" w:sz="4" w:space="0" w:color="4D4D4F"/>
        <w:right w:val="single" w:sz="4" w:space="0" w:color="4D4D4F"/>
        <w:insideH w:val="single" w:sz="4" w:space="0" w:color="4D4D4F"/>
        <w:insideV w:val="single" w:sz="4" w:space="0" w:color="4D4D4F"/>
      </w:tblBorders>
      <w:tblCellMar>
        <w:top w:w="29" w:type="dxa"/>
        <w:left w:w="72" w:type="dxa"/>
        <w:bottom w:w="29" w:type="dxa"/>
        <w:right w:w="72" w:type="dxa"/>
      </w:tblCellMar>
    </w:tblPr>
    <w:trPr>
      <w:jc w:val="center"/>
    </w:trPr>
    <w:tcPr>
      <w:shd w:val="clear" w:color="auto" w:fill="auto"/>
      <w:vAlign w:val="center"/>
    </w:tcPr>
    <w:tblStylePr w:type="firstRow">
      <w:pPr>
        <w:wordWrap/>
        <w:spacing w:beforeLines="0" w:before="0" w:beforeAutospacing="0" w:afterLines="0" w:after="0" w:afterAutospacing="0" w:line="240" w:lineRule="auto"/>
        <w:ind w:leftChars="0" w:left="0" w:rightChars="0" w:right="0" w:firstLineChars="0" w:firstLine="0"/>
        <w:contextualSpacing/>
        <w:jc w:val="center"/>
        <w:outlineLvl w:val="9"/>
      </w:pPr>
      <w:rPr>
        <w:rFonts w:ascii="Franklin Gothic Medium" w:hAnsi="Franklin Gothic Medium"/>
        <w:b w:val="0"/>
        <w:i w:val="0"/>
        <w:iCs/>
        <w:color w:val="1FA9E1" w:themeColor="accent3"/>
        <w:sz w:val="18"/>
      </w:rPr>
      <w:tblPr/>
      <w:tcPr>
        <w:tcBorders>
          <w:bottom w:val="single" w:sz="4" w:space="0" w:color="FFFFFF" w:themeColor="background2"/>
        </w:tcBorders>
        <w:shd w:val="clear" w:color="auto" w:fill="053572" w:themeFill="text2"/>
      </w:tcPr>
    </w:tblStylePr>
    <w:tblStylePr w:type="lastRow">
      <w:pPr>
        <w:jc w:val="left"/>
      </w:pPr>
      <w:rPr>
        <w:rFonts w:asciiTheme="minorHAnsi" w:hAnsiTheme="minorHAnsi"/>
        <w:b/>
        <w:color w:val="auto"/>
        <w:sz w:val="20"/>
      </w:r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l2br w:val="none" w:sz="0" w:space="0" w:color="auto"/>
          <w:tr2bl w:val="none" w:sz="0" w:space="0" w:color="auto"/>
        </w:tcBorders>
        <w:shd w:val="clear" w:color="auto" w:fill="auto"/>
      </w:tcPr>
    </w:tblStylePr>
    <w:tblStylePr w:type="firstCol">
      <w:pPr>
        <w:wordWrap/>
        <w:jc w:val="left"/>
      </w:p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l2br w:val="none" w:sz="0" w:space="0" w:color="auto"/>
          <w:tr2bl w:val="none" w:sz="0" w:space="0" w:color="auto"/>
        </w:tcBorders>
        <w:shd w:val="clear" w:color="auto" w:fill="auto"/>
      </w:tcPr>
    </w:tblStylePr>
    <w:tblStylePr w:type="lastCol">
      <w:pPr>
        <w:wordWrap/>
        <w:jc w:val="left"/>
      </w:p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cBorders>
        <w:shd w:val="clear" w:color="auto" w:fill="auto"/>
      </w:tcPr>
    </w:tblStylePr>
    <w:tblStylePr w:type="band1Vert">
      <w:pPr>
        <w:wordWrap/>
        <w:jc w:val="left"/>
      </w:p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cBorders>
        <w:shd w:val="clear" w:color="auto" w:fill="auto"/>
      </w:tcPr>
    </w:tblStylePr>
    <w:tblStylePr w:type="band2Vert">
      <w:pPr>
        <w:wordWrap/>
        <w:jc w:val="left"/>
      </w:p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cBorders>
        <w:shd w:val="clear" w:color="auto" w:fill="auto"/>
      </w:tcPr>
    </w:tblStylePr>
    <w:tblStylePr w:type="band1Horz">
      <w:pPr>
        <w:wordWrap/>
        <w:jc w:val="left"/>
      </w:p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cBorders>
        <w:shd w:val="clear" w:color="auto" w:fill="auto"/>
      </w:tcPr>
    </w:tblStylePr>
    <w:tblStylePr w:type="band2Horz">
      <w:pPr>
        <w:wordWrap/>
        <w:jc w:val="left"/>
      </w:p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cBorders>
        <w:shd w:val="clear" w:color="auto" w:fill="auto"/>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PageNumber">
    <w:name w:val="page number"/>
    <w:basedOn w:val="DefaultParagraphFont"/>
    <w:uiPriority w:val="99"/>
    <w:semiHidden/>
    <w:rsid w:val="00B51ADD"/>
  </w:style>
  <w:style w:type="character" w:styleId="PlaceholderText">
    <w:name w:val="Placeholder Text"/>
    <w:basedOn w:val="DefaultParagraphFont"/>
    <w:uiPriority w:val="99"/>
    <w:semiHidden/>
    <w:rsid w:val="002C33BF"/>
    <w:rPr>
      <w:color w:val="808080"/>
    </w:rPr>
  </w:style>
  <w:style w:type="table" w:styleId="PlainTable1">
    <w:name w:val="Plain Table 1"/>
    <w:basedOn w:val="TableNormal"/>
    <w:uiPriority w:val="41"/>
    <w:locked/>
    <w:rsid w:val="006143D1"/>
    <w:pPr>
      <w:spacing w:before="200" w:after="0" w:line="240" w:lineRule="auto"/>
    </w:pPr>
    <w:rPr>
      <w:rFonts w:ascii="Franklin Gothic Book" w:eastAsia="Times New Roman" w:hAnsi="Franklin Gothic Book" w:cs="Times New Roman"/>
      <w:lang w:val="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locked/>
    <w:rsid w:val="00904FB6"/>
    <w:pPr>
      <w:spacing w:before="200" w:after="0" w:line="240" w:lineRule="auto"/>
    </w:pPr>
    <w:rPr>
      <w:rFonts w:ascii="Franklin Gothic Book" w:eastAsia="Times New Roman" w:hAnsi="Franklin Gothic Book" w:cs="Times New Roman"/>
      <w:lang w:val="en-US"/>
    </w:rPr>
    <w:tblPr>
      <w:tblStyleRowBandSize w:val="1"/>
      <w:tblStyleColBandSize w:val="1"/>
    </w:tblPr>
    <w:tblStylePr w:type="firstRow">
      <w:rPr>
        <w:b/>
        <w:bCs/>
        <w:caps/>
      </w:rPr>
      <w:tblPr/>
      <w:tcPr>
        <w:tcBorders>
          <w:bottom w:val="single" w:sz="4" w:space="0" w:color="A0A3AD"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A0A3AD"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QuoteStyle">
    <w:name w:val="Quote Style"/>
    <w:basedOn w:val="Normal"/>
    <w:next w:val="Normal"/>
    <w:uiPriority w:val="5"/>
    <w:rsid w:val="00D075CA"/>
    <w:pPr>
      <w:jc w:val="center"/>
    </w:pPr>
    <w:rPr>
      <w:color w:val="6B9BDE" w:themeColor="accent2" w:themeTint="99"/>
      <w:sz w:val="24"/>
    </w:rPr>
  </w:style>
  <w:style w:type="paragraph" w:styleId="Quote">
    <w:name w:val="Quote"/>
    <w:basedOn w:val="Normal"/>
    <w:next w:val="Normal"/>
    <w:uiPriority w:val="99"/>
    <w:semiHidden/>
    <w:qFormat/>
    <w:rsid w:val="00C970BA"/>
    <w:pPr>
      <w:ind w:left="864" w:right="864"/>
      <w:jc w:val="center"/>
    </w:pPr>
    <w:rPr>
      <w:i/>
      <w:iCs/>
    </w:rPr>
  </w:style>
  <w:style w:type="paragraph" w:styleId="Signature">
    <w:name w:val="Signature"/>
    <w:basedOn w:val="Normal"/>
    <w:uiPriority w:val="99"/>
    <w:semiHidden/>
    <w:rsid w:val="00B51ADD"/>
    <w:pPr>
      <w:spacing w:after="0"/>
      <w:ind w:left="4320"/>
    </w:pPr>
  </w:style>
  <w:style w:type="character" w:styleId="SubtleEmphasis">
    <w:name w:val="Subtle Emphasis"/>
    <w:aliases w:val="Emphasis (Subtle)"/>
    <w:uiPriority w:val="4"/>
    <w:qFormat/>
    <w:rsid w:val="005529E5"/>
    <w:rPr>
      <w:rFonts w:asciiTheme="minorHAnsi" w:hAnsiTheme="minorHAnsi"/>
      <w:b/>
      <w:iCs/>
      <w:color w:val="4A4D56" w:themeColor="text1"/>
      <w:sz w:val="22"/>
    </w:rPr>
  </w:style>
  <w:style w:type="paragraph" w:styleId="TOC1">
    <w:name w:val="toc 1"/>
    <w:basedOn w:val="Normal"/>
    <w:next w:val="Normal"/>
    <w:autoRedefine/>
    <w:uiPriority w:val="39"/>
    <w:semiHidden/>
    <w:qFormat/>
    <w:rsid w:val="00155088"/>
    <w:pPr>
      <w:tabs>
        <w:tab w:val="left" w:pos="1584"/>
        <w:tab w:val="right" w:leader="dot" w:pos="10746"/>
      </w:tabs>
      <w:spacing w:before="120" w:after="120"/>
      <w:ind w:left="360" w:right="-4" w:hanging="360"/>
    </w:pPr>
    <w:rPr>
      <w:noProof/>
    </w:rPr>
  </w:style>
  <w:style w:type="paragraph" w:styleId="TOC2">
    <w:name w:val="toc 2"/>
    <w:basedOn w:val="Normal"/>
    <w:next w:val="Normal"/>
    <w:autoRedefine/>
    <w:uiPriority w:val="39"/>
    <w:semiHidden/>
    <w:rsid w:val="00A14F20"/>
    <w:pPr>
      <w:tabs>
        <w:tab w:val="left" w:leader="dot" w:pos="1152"/>
        <w:tab w:val="right" w:leader="dot" w:pos="10746"/>
      </w:tabs>
      <w:spacing w:before="120" w:after="120"/>
      <w:ind w:left="936" w:right="360" w:hanging="504"/>
    </w:pPr>
    <w:rPr>
      <w:noProof/>
    </w:rPr>
  </w:style>
  <w:style w:type="paragraph" w:styleId="TOC3">
    <w:name w:val="toc 3"/>
    <w:basedOn w:val="Normal"/>
    <w:next w:val="Normal"/>
    <w:autoRedefine/>
    <w:uiPriority w:val="39"/>
    <w:semiHidden/>
    <w:rsid w:val="00046703"/>
    <w:pPr>
      <w:tabs>
        <w:tab w:val="right" w:leader="dot" w:pos="9360"/>
      </w:tabs>
      <w:spacing w:before="100"/>
      <w:ind w:left="1584" w:right="333" w:hanging="648"/>
    </w:pPr>
  </w:style>
  <w:style w:type="paragraph" w:styleId="TOC4">
    <w:name w:val="toc 4"/>
    <w:basedOn w:val="Normal"/>
    <w:next w:val="Normal"/>
    <w:autoRedefine/>
    <w:uiPriority w:val="39"/>
    <w:semiHidden/>
    <w:rsid w:val="00721364"/>
    <w:pPr>
      <w:spacing w:after="0"/>
      <w:ind w:left="660"/>
    </w:pPr>
    <w:rPr>
      <w:sz w:val="20"/>
      <w:szCs w:val="20"/>
    </w:rPr>
  </w:style>
  <w:style w:type="paragraph" w:styleId="TOC5">
    <w:name w:val="toc 5"/>
    <w:basedOn w:val="Normal"/>
    <w:next w:val="Normal"/>
    <w:autoRedefine/>
    <w:uiPriority w:val="39"/>
    <w:semiHidden/>
    <w:rsid w:val="00721364"/>
    <w:pPr>
      <w:spacing w:after="0"/>
      <w:ind w:left="880"/>
    </w:pPr>
    <w:rPr>
      <w:sz w:val="20"/>
      <w:szCs w:val="20"/>
    </w:rPr>
  </w:style>
  <w:style w:type="paragraph" w:styleId="TOC6">
    <w:name w:val="toc 6"/>
    <w:basedOn w:val="Normal"/>
    <w:next w:val="Normal"/>
    <w:autoRedefine/>
    <w:uiPriority w:val="39"/>
    <w:semiHidden/>
    <w:rsid w:val="00721364"/>
    <w:pPr>
      <w:spacing w:after="0"/>
      <w:ind w:left="1100"/>
    </w:pPr>
    <w:rPr>
      <w:sz w:val="20"/>
      <w:szCs w:val="20"/>
    </w:rPr>
  </w:style>
  <w:style w:type="paragraph" w:styleId="TOC9">
    <w:name w:val="toc 9"/>
    <w:basedOn w:val="Normal"/>
    <w:next w:val="Normal"/>
    <w:autoRedefine/>
    <w:uiPriority w:val="99"/>
    <w:semiHidden/>
    <w:rsid w:val="00102DB2"/>
    <w:pPr>
      <w:spacing w:after="100"/>
      <w:ind w:left="1760"/>
    </w:pPr>
  </w:style>
  <w:style w:type="paragraph" w:styleId="TOCHeading">
    <w:name w:val="TOC Heading"/>
    <w:basedOn w:val="Normal"/>
    <w:uiPriority w:val="39"/>
    <w:unhideWhenUsed/>
    <w:qFormat/>
    <w:rsid w:val="003B615C"/>
    <w:pPr>
      <w:spacing w:line="500" w:lineRule="exact"/>
    </w:pPr>
    <w:rPr>
      <w:rFonts w:ascii="Rift Soft" w:hAnsi="Rift Soft"/>
      <w:color w:val="053572"/>
      <w:sz w:val="48"/>
      <w:szCs w:val="48"/>
    </w:rPr>
  </w:style>
  <w:style w:type="table" w:styleId="Table3Deffects3">
    <w:name w:val="Table 3D effects 3"/>
    <w:basedOn w:val="TableNormal"/>
    <w:locked/>
    <w:rsid w:val="004B54F7"/>
    <w:pPr>
      <w:spacing w:before="200" w:line="240" w:lineRule="auto"/>
      <w:jc w:val="both"/>
    </w:pPr>
    <w:rPr>
      <w:rFonts w:ascii="Franklin Gothic Book" w:eastAsia="Times New Roman" w:hAnsi="Franklin Gothic Book" w:cs="Times New Roman"/>
      <w:lang w:val="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Bullet">
    <w:name w:val="Table Bullet"/>
    <w:basedOn w:val="Normal"/>
    <w:uiPriority w:val="6"/>
    <w:qFormat/>
    <w:rsid w:val="00800410"/>
    <w:pPr>
      <w:numPr>
        <w:numId w:val="13"/>
      </w:numPr>
      <w:spacing w:after="0"/>
      <w:ind w:left="144" w:hanging="144"/>
    </w:pPr>
    <w:rPr>
      <w:sz w:val="20"/>
      <w:szCs w:val="20"/>
    </w:rPr>
  </w:style>
  <w:style w:type="paragraph" w:customStyle="1" w:styleId="TableCenterText">
    <w:name w:val="Table Center Text"/>
    <w:uiPriority w:val="6"/>
    <w:rsid w:val="005F02B5"/>
    <w:pPr>
      <w:spacing w:before="10" w:after="0" w:line="240" w:lineRule="auto"/>
      <w:jc w:val="center"/>
    </w:pPr>
    <w:rPr>
      <w:rFonts w:ascii="Franklin Gothic Book" w:eastAsia="Times New Roman" w:hAnsi="Franklin Gothic Book" w:cs="Times New Roman"/>
      <w:color w:val="4A4D56" w:themeColor="text1"/>
      <w:sz w:val="20"/>
      <w:lang w:val="en-US"/>
    </w:rPr>
  </w:style>
  <w:style w:type="table" w:styleId="TableGrid">
    <w:name w:val="Table Grid"/>
    <w:locked/>
    <w:rsid w:val="002B512D"/>
    <w:pPr>
      <w:spacing w:after="0" w:line="240" w:lineRule="auto"/>
    </w:pPr>
    <w:rPr>
      <w:rFonts w:ascii="Franklin Gothic Book" w:eastAsia="Times New Roman" w:hAnsi="Franklin Gothic Book" w:cs="Times New Roman"/>
      <w:color w:val="FFFFFF"/>
      <w:sz w:val="20"/>
      <w:szCs w:val="20"/>
      <w:lang w:val="en-US" w:eastAsia="en-ZA"/>
    </w:rPr>
    <w:tblPr>
      <w:tblStyleRowBandSize w:val="1"/>
      <w:tblStyleCol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72" w:type="dxa"/>
        <w:bottom w:w="29" w:type="dxa"/>
        <w:right w:w="72" w:type="dxa"/>
      </w:tblCellMar>
    </w:tblPr>
    <w:trPr>
      <w:jc w:val="center"/>
    </w:trPr>
    <w:tcPr>
      <w:shd w:val="clear" w:color="auto" w:fill="auto"/>
      <w:vAlign w:val="center"/>
    </w:tcPr>
    <w:tblStylePr w:type="firstRow">
      <w:pPr>
        <w:wordWrap/>
        <w:spacing w:beforeLines="0" w:before="0" w:beforeAutospacing="0" w:afterLines="0" w:after="0" w:afterAutospacing="0" w:line="240" w:lineRule="auto"/>
        <w:ind w:leftChars="0" w:left="0" w:rightChars="0" w:right="0" w:firstLineChars="0" w:firstLine="0"/>
        <w:contextualSpacing/>
        <w:jc w:val="center"/>
        <w:outlineLvl w:val="9"/>
      </w:pPr>
      <w:tblPr/>
      <w:trPr>
        <w:tblHeader/>
      </w:trPr>
      <w:tcPr>
        <w:tcBorders>
          <w:bottom w:val="single" w:sz="6" w:space="0" w:color="000000"/>
        </w:tcBorders>
        <w:shd w:val="clear" w:color="auto" w:fill="053572" w:themeFill="text2"/>
      </w:tcPr>
    </w:tblStylePr>
    <w:tblStylePr w:type="lastRow">
      <w:pPr>
        <w:jc w:val="left"/>
      </w:pPr>
      <w:rPr>
        <w:rFonts w:asciiTheme="minorHAnsi" w:hAnsiTheme="minorHAnsi"/>
        <w:b/>
        <w:color w:val="auto"/>
        <w:sz w:val="20"/>
      </w:r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l2br w:val="none" w:sz="0" w:space="0" w:color="auto"/>
          <w:tr2bl w:val="none" w:sz="0" w:space="0" w:color="auto"/>
        </w:tcBorders>
        <w:shd w:val="clear" w:color="auto" w:fill="auto"/>
      </w:tcPr>
    </w:tblStylePr>
    <w:tblStylePr w:type="firstCol">
      <w:pPr>
        <w:wordWrap/>
        <w:jc w:val="left"/>
      </w:p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l2br w:val="none" w:sz="0" w:space="0" w:color="auto"/>
          <w:tr2bl w:val="none" w:sz="0" w:space="0" w:color="auto"/>
        </w:tcBorders>
        <w:shd w:val="clear" w:color="auto" w:fill="auto"/>
      </w:tcPr>
    </w:tblStylePr>
    <w:tblStylePr w:type="lastCol">
      <w:pPr>
        <w:wordWrap/>
        <w:jc w:val="left"/>
      </w:p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cBorders>
        <w:shd w:val="clear" w:color="auto" w:fill="auto"/>
      </w:tcPr>
    </w:tblStylePr>
    <w:tblStylePr w:type="band1Vert">
      <w:pPr>
        <w:wordWrap/>
        <w:jc w:val="left"/>
      </w:p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cBorders>
        <w:shd w:val="clear" w:color="auto" w:fill="auto"/>
      </w:tcPr>
    </w:tblStylePr>
    <w:tblStylePr w:type="band2Vert">
      <w:pPr>
        <w:wordWrap/>
        <w:jc w:val="left"/>
      </w:p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cBorders>
        <w:shd w:val="clear" w:color="auto" w:fill="auto"/>
      </w:tcPr>
    </w:tblStylePr>
    <w:tblStylePr w:type="band1Horz">
      <w:pPr>
        <w:wordWrap/>
        <w:jc w:val="left"/>
      </w:p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cBorders>
        <w:shd w:val="clear" w:color="auto" w:fill="auto"/>
      </w:tcPr>
    </w:tblStylePr>
    <w:tblStylePr w:type="band2Horz">
      <w:pPr>
        <w:wordWrap/>
        <w:jc w:val="left"/>
      </w:p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cBorders>
        <w:shd w:val="clear" w:color="auto" w:fill="auto"/>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LeftText">
    <w:name w:val="Table Left Text"/>
    <w:uiPriority w:val="6"/>
    <w:qFormat/>
    <w:rsid w:val="005F02B5"/>
    <w:pPr>
      <w:spacing w:before="10" w:after="0" w:line="240" w:lineRule="auto"/>
    </w:pPr>
    <w:rPr>
      <w:rFonts w:ascii="Franklin Gothic Book" w:eastAsia="Times New Roman" w:hAnsi="Franklin Gothic Book" w:cs="Times New Roman"/>
      <w:color w:val="4A4D56" w:themeColor="text1"/>
      <w:sz w:val="20"/>
      <w:lang w:val="en-US"/>
    </w:rPr>
  </w:style>
  <w:style w:type="paragraph" w:customStyle="1" w:styleId="TableRightText">
    <w:name w:val="Table Right Text"/>
    <w:basedOn w:val="Normal"/>
    <w:uiPriority w:val="6"/>
    <w:rsid w:val="005F02B5"/>
    <w:pPr>
      <w:spacing w:before="10" w:after="0"/>
      <w:jc w:val="right"/>
    </w:pPr>
    <w:rPr>
      <w:sz w:val="20"/>
    </w:rPr>
  </w:style>
  <w:style w:type="paragraph" w:customStyle="1" w:styleId="TableHeadingCentered">
    <w:name w:val="Table Heading (Centered)"/>
    <w:uiPriority w:val="6"/>
    <w:qFormat/>
    <w:rsid w:val="006E68B0"/>
    <w:pPr>
      <w:spacing w:after="0" w:line="240" w:lineRule="auto"/>
      <w:jc w:val="center"/>
    </w:pPr>
    <w:rPr>
      <w:rFonts w:ascii="Franklin Gothic Medium" w:eastAsia="Times New Roman" w:hAnsi="Franklin Gothic Medium" w:cs="Times New Roman"/>
      <w:color w:val="FFFFFF" w:themeColor="background1"/>
      <w:sz w:val="20"/>
      <w:szCs w:val="20"/>
      <w:lang w:val="en-US"/>
    </w:rPr>
  </w:style>
  <w:style w:type="paragraph" w:customStyle="1" w:styleId="TableWhiteTextBook">
    <w:name w:val="Table White Text (Book)"/>
    <w:uiPriority w:val="6"/>
    <w:rsid w:val="000F7F43"/>
    <w:pPr>
      <w:spacing w:after="0" w:line="240" w:lineRule="auto"/>
    </w:pPr>
    <w:rPr>
      <w:rFonts w:ascii="Franklin Gothic Book" w:eastAsia="Times New Roman" w:hAnsi="Franklin Gothic Book" w:cs="Times New Roman"/>
      <w:color w:val="FFFFFF"/>
      <w:sz w:val="20"/>
      <w:szCs w:val="20"/>
      <w:lang w:val="en-US"/>
    </w:rPr>
  </w:style>
  <w:style w:type="paragraph" w:styleId="TableofFigures">
    <w:name w:val="table of figures"/>
    <w:basedOn w:val="Normal"/>
    <w:next w:val="Normal"/>
    <w:uiPriority w:val="99"/>
    <w:semiHidden/>
    <w:rsid w:val="00173A1F"/>
    <w:pPr>
      <w:tabs>
        <w:tab w:val="right" w:leader="dot" w:pos="10070"/>
      </w:tabs>
      <w:spacing w:before="120" w:after="120"/>
      <w:ind w:right="360"/>
    </w:pPr>
  </w:style>
  <w:style w:type="paragraph" w:customStyle="1" w:styleId="TableFootnote">
    <w:name w:val="Table_Footnote"/>
    <w:uiPriority w:val="6"/>
    <w:rsid w:val="007C5AA1"/>
    <w:pPr>
      <w:spacing w:before="40" w:after="60" w:line="240" w:lineRule="auto"/>
      <w:jc w:val="both"/>
    </w:pPr>
    <w:rPr>
      <w:rFonts w:ascii="Franklin Gothic Book" w:eastAsia="Times New Roman" w:hAnsi="Franklin Gothic Book" w:cs="Times New Roman"/>
      <w:color w:val="4A4D56" w:themeColor="text1"/>
      <w:sz w:val="18"/>
      <w:szCs w:val="19"/>
      <w:lang w:val="en-US"/>
    </w:rPr>
  </w:style>
  <w:style w:type="character" w:styleId="UnresolvedMention">
    <w:name w:val="Unresolved Mention"/>
    <w:basedOn w:val="DefaultParagraphFont"/>
    <w:uiPriority w:val="99"/>
    <w:semiHidden/>
    <w:unhideWhenUsed/>
    <w:rsid w:val="00E71369"/>
    <w:rPr>
      <w:color w:val="605E5C"/>
      <w:shd w:val="clear" w:color="auto" w:fill="E1DFDD"/>
    </w:rPr>
  </w:style>
  <w:style w:type="table" w:customStyle="1" w:styleId="ODExcelPlaceholder">
    <w:name w:val="_OD Excel Placeholder"/>
    <w:basedOn w:val="TableNormal"/>
    <w:uiPriority w:val="99"/>
    <w:rsid w:val="00865C6A"/>
    <w:pPr>
      <w:spacing w:after="0"/>
    </w:pPr>
    <w:rPr>
      <w:sz w:val="18"/>
    </w:rPr>
    <w:tblPr>
      <w:tblCellMar>
        <w:left w:w="0" w:type="dxa"/>
        <w:right w:w="0" w:type="dxa"/>
      </w:tblCellMar>
    </w:tblPr>
    <w:tblStylePr w:type="firstRow">
      <w:pPr>
        <w:wordWrap/>
        <w:spacing w:beforeLines="0" w:before="0" w:beforeAutospacing="0" w:afterLines="0" w:after="0" w:afterAutospacing="0" w:line="240" w:lineRule="auto"/>
        <w:ind w:leftChars="0" w:left="0" w:rightChars="0" w:right="0"/>
        <w:jc w:val="center"/>
        <w:outlineLvl w:val="9"/>
      </w:pPr>
      <w:rPr>
        <w:rFonts w:asciiTheme="minorHAnsi" w:hAnsiTheme="minorHAnsi"/>
        <w:sz w:val="18"/>
      </w:rPr>
    </w:tblStylePr>
  </w:style>
  <w:style w:type="paragraph" w:customStyle="1" w:styleId="zSRnote">
    <w:name w:val="zSR note"/>
    <w:basedOn w:val="Normal"/>
    <w:uiPriority w:val="99"/>
    <w:semiHidden/>
    <w:locked/>
    <w:rsid w:val="000C2EF9"/>
    <w:pPr>
      <w:spacing w:after="0"/>
    </w:pPr>
    <w:rPr>
      <w:color w:val="C00000"/>
    </w:rPr>
  </w:style>
  <w:style w:type="table" w:customStyle="1" w:styleId="ODTable1">
    <w:name w:val="OD Table 1"/>
    <w:basedOn w:val="TableNormal"/>
    <w:uiPriority w:val="99"/>
    <w:rsid w:val="008F0909"/>
    <w:pPr>
      <w:spacing w:after="0" w:line="240" w:lineRule="auto"/>
    </w:pPr>
    <w:tblPr/>
  </w:style>
  <w:style w:type="numbering" w:customStyle="1" w:styleId="ODXAPPENDIX">
    <w:name w:val="ODX APPENDIX"/>
    <w:uiPriority w:val="99"/>
    <w:rsid w:val="008B2F0D"/>
    <w:pPr>
      <w:numPr>
        <w:numId w:val="15"/>
      </w:numPr>
    </w:pPr>
  </w:style>
  <w:style w:type="character" w:styleId="SmartLink">
    <w:name w:val="Smart Link"/>
    <w:basedOn w:val="DefaultParagraphFont"/>
    <w:uiPriority w:val="99"/>
    <w:semiHidden/>
    <w:unhideWhenUsed/>
    <w:rsid w:val="000C2EF9"/>
    <w:rPr>
      <w:rFonts w:asciiTheme="minorHAnsi" w:hAnsiTheme="minorHAnsi"/>
      <w:color w:val="1FA9E1" w:themeColor="accent3"/>
      <w:sz w:val="22"/>
      <w:u w:val="single"/>
      <w:shd w:val="clear" w:color="auto" w:fill="F3F2F1"/>
    </w:rPr>
  </w:style>
  <w:style w:type="paragraph" w:customStyle="1" w:styleId="TableHeadingLeft">
    <w:name w:val="Table Heading (Left)"/>
    <w:qFormat/>
    <w:rsid w:val="007C5AA1"/>
    <w:pPr>
      <w:spacing w:after="0" w:line="240" w:lineRule="auto"/>
    </w:pPr>
    <w:rPr>
      <w:rFonts w:ascii="Franklin Gothic Medium" w:eastAsia="Times New Roman" w:hAnsi="Franklin Gothic Medium" w:cs="Times New Roman"/>
      <w:color w:val="FFFFFF" w:themeColor="background1"/>
      <w:sz w:val="20"/>
      <w:szCs w:val="20"/>
      <w:lang w:val="en-US"/>
    </w:rPr>
  </w:style>
  <w:style w:type="paragraph" w:customStyle="1" w:styleId="AppendicesEntries">
    <w:name w:val="Appendices Entries"/>
    <w:semiHidden/>
    <w:rsid w:val="003C4811"/>
    <w:pPr>
      <w:tabs>
        <w:tab w:val="left" w:pos="1584"/>
        <w:tab w:val="right" w:leader="dot" w:pos="10746"/>
      </w:tabs>
      <w:spacing w:before="120" w:after="120"/>
      <w:ind w:left="360" w:right="-4" w:hanging="360"/>
    </w:pPr>
    <w:rPr>
      <w:rFonts w:ascii="Franklin Gothic Book" w:eastAsia="Times New Roman" w:hAnsi="Franklin Gothic Book" w:cs="Times New Roman"/>
      <w:noProof/>
      <w:color w:val="4A4D56" w:themeColor="text1"/>
      <w:szCs w:val="20"/>
      <w:lang w:val="en-US"/>
    </w:rPr>
  </w:style>
  <w:style w:type="paragraph" w:customStyle="1" w:styleId="TableTextLeftMedium">
    <w:name w:val="Table Text Left (Medium)"/>
    <w:qFormat/>
    <w:rsid w:val="000E0419"/>
    <w:pPr>
      <w:spacing w:after="0" w:line="240" w:lineRule="auto"/>
    </w:pPr>
    <w:rPr>
      <w:rFonts w:ascii="Franklin Gothic Medium" w:eastAsia="Times New Roman" w:hAnsi="Franklin Gothic Medium" w:cs="Times New Roman"/>
      <w:color w:val="4A4D56" w:themeColor="text1"/>
      <w:sz w:val="20"/>
      <w:lang w:val="en-US"/>
    </w:rPr>
  </w:style>
  <w:style w:type="paragraph" w:styleId="Header">
    <w:name w:val="header"/>
    <w:basedOn w:val="Normal"/>
    <w:link w:val="HeaderChar"/>
    <w:uiPriority w:val="99"/>
    <w:semiHidden/>
    <w:rsid w:val="00A02BB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529E5"/>
    <w:rPr>
      <w:rFonts w:ascii="Franklin Gothic Book" w:eastAsia="Times New Roman" w:hAnsi="Franklin Gothic Book" w:cs="Times New Roman"/>
      <w:color w:val="4A4D56" w:themeColor="text1"/>
      <w:lang w:val="en-US"/>
    </w:rPr>
  </w:style>
  <w:style w:type="paragraph" w:styleId="Footer">
    <w:name w:val="footer"/>
    <w:basedOn w:val="Normal"/>
    <w:link w:val="FooterChar"/>
    <w:uiPriority w:val="69"/>
    <w:rsid w:val="00A02BBA"/>
    <w:pPr>
      <w:tabs>
        <w:tab w:val="center" w:pos="4680"/>
        <w:tab w:val="right" w:pos="9360"/>
      </w:tabs>
      <w:spacing w:after="0" w:line="240" w:lineRule="auto"/>
    </w:pPr>
  </w:style>
  <w:style w:type="character" w:customStyle="1" w:styleId="FooterChar">
    <w:name w:val="Footer Char"/>
    <w:basedOn w:val="DefaultParagraphFont"/>
    <w:link w:val="Footer"/>
    <w:uiPriority w:val="69"/>
    <w:rsid w:val="005529E5"/>
    <w:rPr>
      <w:rFonts w:ascii="Franklin Gothic Book" w:eastAsia="Times New Roman" w:hAnsi="Franklin Gothic Book" w:cs="Times New Roman"/>
      <w:color w:val="4A4D56" w:themeColor="text1"/>
      <w:lang w:val="en-US"/>
    </w:rPr>
  </w:style>
  <w:style w:type="paragraph" w:customStyle="1" w:styleId="ResumeStyle2">
    <w:name w:val="Resume Style 2"/>
    <w:basedOn w:val="Header"/>
    <w:semiHidden/>
    <w:qFormat/>
    <w:rsid w:val="005529E5"/>
    <w:rPr>
      <w:color w:val="053572" w:themeColor="text2"/>
      <w:sz w:val="24"/>
    </w:rPr>
  </w:style>
  <w:style w:type="paragraph" w:styleId="Title">
    <w:name w:val="Title"/>
    <w:aliases w:val="Memo Title"/>
    <w:basedOn w:val="Normal"/>
    <w:next w:val="Normal"/>
    <w:link w:val="TitleChar"/>
    <w:uiPriority w:val="10"/>
    <w:qFormat/>
    <w:rsid w:val="00E02F5E"/>
    <w:pPr>
      <w:spacing w:before="160" w:after="160" w:line="240" w:lineRule="auto"/>
      <w:contextualSpacing/>
    </w:pPr>
    <w:rPr>
      <w:rFonts w:ascii="Rift Soft Medium" w:eastAsiaTheme="majorEastAsia" w:hAnsi="Rift Soft Medium" w:cstheme="majorBidi"/>
      <w:color w:val="053572" w:themeColor="text2"/>
      <w:spacing w:val="-10"/>
      <w:kern w:val="28"/>
      <w:sz w:val="60"/>
      <w:szCs w:val="56"/>
    </w:rPr>
  </w:style>
  <w:style w:type="character" w:customStyle="1" w:styleId="TitleChar">
    <w:name w:val="Title Char"/>
    <w:aliases w:val="Memo Title Char"/>
    <w:basedOn w:val="DefaultParagraphFont"/>
    <w:link w:val="Title"/>
    <w:uiPriority w:val="10"/>
    <w:rsid w:val="00E02F5E"/>
    <w:rPr>
      <w:rFonts w:ascii="Rift Soft Medium" w:eastAsiaTheme="majorEastAsia" w:hAnsi="Rift Soft Medium" w:cstheme="majorBidi"/>
      <w:color w:val="053572" w:themeColor="text2"/>
      <w:spacing w:val="-10"/>
      <w:kern w:val="28"/>
      <w:sz w:val="60"/>
      <w:szCs w:val="56"/>
      <w:lang w:val="en-US"/>
    </w:rPr>
  </w:style>
  <w:style w:type="paragraph" w:styleId="Caption">
    <w:name w:val="caption"/>
    <w:link w:val="CaptionChar"/>
    <w:autoRedefine/>
    <w:uiPriority w:val="99"/>
    <w:qFormat/>
    <w:rsid w:val="00E706F6"/>
    <w:pPr>
      <w:keepNext/>
      <w:jc w:val="center"/>
    </w:pPr>
    <w:rPr>
      <w:rFonts w:ascii="Franklin Gothic Book" w:eastAsia="Times New Roman" w:hAnsi="Franklin Gothic Book" w:cs="Times New Roman"/>
      <w:bCs/>
      <w:color w:val="4A4D56" w:themeColor="text1"/>
      <w:szCs w:val="20"/>
      <w:lang w:val="en-US"/>
    </w:rPr>
  </w:style>
  <w:style w:type="character" w:customStyle="1" w:styleId="CaptionChar">
    <w:name w:val="Caption Char"/>
    <w:basedOn w:val="DefaultParagraphFont"/>
    <w:link w:val="Caption"/>
    <w:uiPriority w:val="99"/>
    <w:rsid w:val="00E706F6"/>
    <w:rPr>
      <w:rFonts w:ascii="Franklin Gothic Book" w:eastAsia="Times New Roman" w:hAnsi="Franklin Gothic Book" w:cs="Times New Roman"/>
      <w:bCs/>
      <w:color w:val="4A4D56" w:themeColor="text1"/>
      <w:szCs w:val="20"/>
      <w:lang w:val="en-US"/>
    </w:rPr>
  </w:style>
  <w:style w:type="character" w:customStyle="1" w:styleId="FootnoteTextChar">
    <w:name w:val="Footnote Text Char"/>
    <w:basedOn w:val="DefaultParagraphFont"/>
    <w:link w:val="FootnoteText"/>
    <w:uiPriority w:val="69"/>
    <w:rsid w:val="00FF1877"/>
    <w:rPr>
      <w:rFonts w:ascii="Franklin Gothic Book" w:eastAsia="Times New Roman" w:hAnsi="Franklin Gothic Book" w:cs="Times New Roman"/>
      <w:color w:val="4A4D56" w:themeColor="text1"/>
      <w:sz w:val="18"/>
      <w:szCs w:val="20"/>
      <w:lang w:val="en-US"/>
    </w:rPr>
  </w:style>
  <w:style w:type="paragraph" w:customStyle="1" w:styleId="ODTable">
    <w:name w:val="OD Table"/>
    <w:link w:val="ODTableChar"/>
    <w:qFormat/>
    <w:rsid w:val="00FF1877"/>
    <w:pPr>
      <w:spacing w:after="0" w:line="240" w:lineRule="auto"/>
    </w:pPr>
    <w:rPr>
      <w:rFonts w:ascii="Franklin Gothic Book" w:eastAsia="Times New Roman" w:hAnsi="Franklin Gothic Book" w:cs="Times New Roman"/>
      <w:color w:val="4A4D56" w:themeColor="text1"/>
      <w:sz w:val="20"/>
      <w:szCs w:val="20"/>
      <w:lang w:val="en-US"/>
    </w:rPr>
  </w:style>
  <w:style w:type="character" w:customStyle="1" w:styleId="ODTableChar">
    <w:name w:val="OD Table Char"/>
    <w:basedOn w:val="DefaultParagraphFont"/>
    <w:link w:val="ODTable"/>
    <w:rsid w:val="00FF1877"/>
    <w:rPr>
      <w:rFonts w:ascii="Franklin Gothic Book" w:eastAsia="Times New Roman" w:hAnsi="Franklin Gothic Book" w:cs="Times New Roman"/>
      <w:color w:val="4A4D56" w:themeColor="text1"/>
      <w:sz w:val="20"/>
      <w:szCs w:val="20"/>
      <w:lang w:val="en-US"/>
    </w:rPr>
  </w:style>
  <w:style w:type="character" w:styleId="CommentReference">
    <w:name w:val="annotation reference"/>
    <w:basedOn w:val="DefaultParagraphFont"/>
    <w:uiPriority w:val="99"/>
    <w:semiHidden/>
    <w:unhideWhenUsed/>
    <w:rsid w:val="00CE668D"/>
    <w:rPr>
      <w:sz w:val="16"/>
      <w:szCs w:val="16"/>
    </w:rPr>
  </w:style>
  <w:style w:type="paragraph" w:styleId="Revision">
    <w:name w:val="Revision"/>
    <w:hidden/>
    <w:uiPriority w:val="99"/>
    <w:semiHidden/>
    <w:rsid w:val="008E4050"/>
    <w:pPr>
      <w:spacing w:after="0" w:line="240" w:lineRule="auto"/>
    </w:pPr>
    <w:rPr>
      <w:rFonts w:ascii="Franklin Gothic Book" w:eastAsia="Times New Roman" w:hAnsi="Franklin Gothic Book" w:cs="Times New Roman"/>
      <w:color w:val="4A4D56" w:themeColor="text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3" Type="http://schemas.openxmlformats.org/officeDocument/2006/relationships/hyperlink" Target="https://files.worldwildlife.org/wwfcmsprod/misc/climate_forest/Biogenic_Carbon_Footprint_Calculator_2020.xlsx" TargetMode="External"/><Relationship Id="rId2" Type="http://schemas.openxmlformats.org/officeDocument/2006/relationships/hyperlink" Target="https://outside.vermont.gov/agency/anr/climatecouncil/Shared%20Documents/1990-2021_GHG_Inventory_Uploads/_Methodology_Vermont_Greenhouse_Gas_Emissions_Inventory_1990-2021_Final.pdf" TargetMode="External"/><Relationship Id="rId1" Type="http://schemas.openxmlformats.org/officeDocument/2006/relationships/hyperlink" Target="https://www.epa.gov/climateleadership/ghg-emission-factors-hub" TargetMode="External"/><Relationship Id="rId5" Type="http://schemas.openxmlformats.org/officeDocument/2006/relationships/hyperlink" Target="https://fpr.vermont.gov/sites/fpr/files/documents/2017%20Forest%20and%20Wood%20Products%20Industries%20Economic%20Contributions.pdf" TargetMode="External"/><Relationship Id="rId4" Type="http://schemas.openxmlformats.org/officeDocument/2006/relationships/hyperlink" Target="https://files.worldwildlife.org/wwfcmsprod/misc/climate_forest/Biogenic_Carbon_Footprint_Calculator_2020.xls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ross\AppData\Local\Temp\ec3f3f03-3fd6-4ed0-bf83-a19637fc4194\24.dotx"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D main theme">
      <a:dk1>
        <a:srgbClr val="4A4D56"/>
      </a:dk1>
      <a:lt1>
        <a:srgbClr val="FFFFFF"/>
      </a:lt1>
      <a:dk2>
        <a:srgbClr val="053572"/>
      </a:dk2>
      <a:lt2>
        <a:srgbClr val="FFFFFF"/>
      </a:lt2>
      <a:accent1>
        <a:srgbClr val="172B54"/>
      </a:accent1>
      <a:accent2>
        <a:srgbClr val="265EAC"/>
      </a:accent2>
      <a:accent3>
        <a:srgbClr val="1FA9E1"/>
      </a:accent3>
      <a:accent4>
        <a:srgbClr val="7E83C0"/>
      </a:accent4>
      <a:accent5>
        <a:srgbClr val="5661AC"/>
      </a:accent5>
      <a:accent6>
        <a:srgbClr val="FFDFB8"/>
      </a:accent6>
      <a:hlink>
        <a:srgbClr val="4087C7"/>
      </a:hlink>
      <a:folHlink>
        <a:srgbClr val="A1CBED"/>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blipFill>
          <a:blip xmlns:r="http://schemas.openxmlformats.org/officeDocument/2006/relationships" r:embed="rId1">
            <a:extLst>
              <a:ext uri="{96DAC541-7B7A-43D3-8B79-37D633B846F1}">
                <asvg:svgBlip xmlns:asvg="http://schemas.microsoft.com/office/drawing/2016/SVG/main" r:embed="rId2"/>
              </a:ext>
            </a:extLst>
          </a:blip>
          <a:stretch>
            <a:fillRect/>
          </a:stretch>
        </a:blipFill>
        <a:ln w="9525">
          <a:noFill/>
          <a:miter lim="800000"/>
          <a:headEnd/>
          <a:tailEnd/>
        </a:ln>
      </a:spPr>
      <a:bodyPr rot="0" vert="horz" wrap="square" lIns="468000" tIns="360000" rIns="468000" bIns="360000" anchor="ctr"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Section</b:Tag>
    <b:RefOrder>1</b:RefOrder>
  </b:Source>
</b:Sources>
</file>

<file path=customXml/itemProps1.xml><?xml version="1.0" encoding="utf-8"?>
<ds:datastoreItem xmlns:ds="http://schemas.openxmlformats.org/officeDocument/2006/customXml" ds:itemID="{5AE5D383-8288-463E-A8CC-DB995C254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Template>
  <TotalTime>95</TotalTime>
  <Pages>5</Pages>
  <Words>1925</Words>
  <Characters>10545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Report</vt:lpstr>
    </vt:vector>
  </TitlesOfParts>
  <Company/>
  <LinksUpToDate>false</LinksUpToDate>
  <CharactersWithSpaces>12446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creator>Zachary Ross</dc:creator>
  <cp:lastModifiedBy>Zachary Ross</cp:lastModifiedBy>
  <cp:revision>5</cp:revision>
  <dcterms:created xsi:type="dcterms:W3CDTF">2024-10-09T16:35:00Z</dcterms:created>
  <dcterms:modified xsi:type="dcterms:W3CDTF">2024-10-09T19:32:00Z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73564f48-a1c1-4ad1-8cac-555e9f90f817</vt:lpwstr>
  </property>
</Properties>
</file>