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1B1DF8" w14:textId="77777777" w:rsidR="00C70FCA" w:rsidRPr="005A6DF7" w:rsidRDefault="00C70FCA" w:rsidP="00C70FCA">
      <w:pPr>
        <w:rPr>
          <w:b/>
          <w:bCs/>
          <w:sz w:val="24"/>
          <w:szCs w:val="24"/>
        </w:rPr>
      </w:pPr>
      <w:r w:rsidRPr="005A6DF7">
        <w:rPr>
          <w:b/>
          <w:bCs/>
          <w:sz w:val="24"/>
          <w:szCs w:val="24"/>
        </w:rPr>
        <w:t>Health Impacts and Considerations for the Clean Heat Standard</w:t>
      </w:r>
    </w:p>
    <w:p w14:paraId="2B59600D" w14:textId="77777777" w:rsidR="00C70FCA" w:rsidRPr="005A6DF7" w:rsidRDefault="00C70FCA" w:rsidP="00C70FCA">
      <w:pPr>
        <w:rPr>
          <w:b/>
          <w:bCs/>
          <w:u w:val="single"/>
        </w:rPr>
      </w:pPr>
      <w:r w:rsidRPr="005A6DF7">
        <w:rPr>
          <w:b/>
          <w:bCs/>
          <w:u w:val="single"/>
        </w:rPr>
        <w:t>Relevant Language from CHS Statute</w:t>
      </w:r>
    </w:p>
    <w:p w14:paraId="3D7B1DAA" w14:textId="77777777" w:rsidR="00E95376" w:rsidRPr="002D3D78" w:rsidRDefault="00A661E1" w:rsidP="00A661E1">
      <w:pPr>
        <w:pStyle w:val="ListParagraph"/>
        <w:numPr>
          <w:ilvl w:val="0"/>
          <w:numId w:val="12"/>
        </w:numPr>
      </w:pPr>
      <w:r w:rsidRPr="002D3D78">
        <w:t>§ 8121. INTENT</w:t>
      </w:r>
    </w:p>
    <w:p w14:paraId="0EEE5DA7" w14:textId="42668B38" w:rsidR="00A661E1" w:rsidRPr="00C70FCA" w:rsidRDefault="00A661E1" w:rsidP="002D3D78">
      <w:pPr>
        <w:pStyle w:val="ListParagraph"/>
      </w:pPr>
      <w:r w:rsidRPr="002D3D78">
        <w:t xml:space="preserve">Pursuant to 2 V.S.A. § 205(a), </w:t>
      </w:r>
      <w:r w:rsidRPr="0059534C">
        <w:rPr>
          <w:highlight w:val="yellow"/>
        </w:rPr>
        <w:t>it is the intent of the General Assembly that</w:t>
      </w:r>
      <w:r w:rsidR="00E95376" w:rsidRPr="0059534C">
        <w:rPr>
          <w:highlight w:val="yellow"/>
        </w:rPr>
        <w:t xml:space="preserve"> </w:t>
      </w:r>
      <w:r w:rsidRPr="0059534C">
        <w:rPr>
          <w:highlight w:val="yellow"/>
        </w:rPr>
        <w:t>the Clean Heat Standard</w:t>
      </w:r>
      <w:r w:rsidRPr="002D3D78">
        <w:t xml:space="preserve"> be designed and implemented in a manner that</w:t>
      </w:r>
      <w:r w:rsidR="00E95376" w:rsidRPr="002D3D78">
        <w:t xml:space="preserve"> </w:t>
      </w:r>
      <w:r w:rsidRPr="002D3D78">
        <w:t>achieves Vermont’s thermal sector greenhouse gas emissions reductions</w:t>
      </w:r>
      <w:r w:rsidR="00E95376" w:rsidRPr="002D3D78">
        <w:t xml:space="preserve"> </w:t>
      </w:r>
      <w:r w:rsidRPr="002D3D78">
        <w:t>necessary to meet the requirements of 10 V.S.A. § 578(a)(2) and (3),</w:t>
      </w:r>
      <w:r w:rsidR="004174EA" w:rsidRPr="002D3D78">
        <w:t xml:space="preserve"> </w:t>
      </w:r>
      <w:r w:rsidRPr="002D3D78">
        <w:t xml:space="preserve">minimizes costs to customers, </w:t>
      </w:r>
      <w:r w:rsidRPr="002D3D78">
        <w:rPr>
          <w:highlight w:val="yellow"/>
        </w:rPr>
        <w:t>protects public health,</w:t>
      </w:r>
      <w:r w:rsidRPr="002D3D78">
        <w:t xml:space="preserve"> and recognizes that</w:t>
      </w:r>
      <w:r w:rsidR="004174EA" w:rsidRPr="002D3D78">
        <w:t xml:space="preserve"> </w:t>
      </w:r>
      <w:r w:rsidRPr="002D3D78">
        <w:t xml:space="preserve">affordable heating is essential for Vermonters. It </w:t>
      </w:r>
      <w:proofErr w:type="gramStart"/>
      <w:r w:rsidRPr="002D3D78">
        <w:t>shall</w:t>
      </w:r>
      <w:proofErr w:type="gramEnd"/>
      <w:r w:rsidRPr="002D3D78">
        <w:t xml:space="preserve"> enhance social equity</w:t>
      </w:r>
      <w:r w:rsidR="004174EA" w:rsidRPr="002D3D78">
        <w:t xml:space="preserve"> </w:t>
      </w:r>
      <w:r w:rsidRPr="002D3D78">
        <w:t>by prioritizing customers with low income and moderate income and those</w:t>
      </w:r>
      <w:r w:rsidR="004174EA" w:rsidRPr="002D3D78">
        <w:t xml:space="preserve"> </w:t>
      </w:r>
      <w:r w:rsidRPr="002D3D78">
        <w:t>households with the highest energy burdens. The Clean Heat Standard shall, to</w:t>
      </w:r>
      <w:r w:rsidR="004174EA" w:rsidRPr="002D3D78">
        <w:t xml:space="preserve"> </w:t>
      </w:r>
      <w:r w:rsidRPr="002D3D78">
        <w:t>the greatest extent possible, maximize the use of available federal funds to</w:t>
      </w:r>
      <w:r w:rsidR="002D3D78" w:rsidRPr="002D3D78">
        <w:t xml:space="preserve"> </w:t>
      </w:r>
      <w:r w:rsidRPr="002D3D78">
        <w:t>deliver clean heat measures.</w:t>
      </w:r>
    </w:p>
    <w:p w14:paraId="0BE01558" w14:textId="240D0733" w:rsidR="00B86700" w:rsidRDefault="00B86700" w:rsidP="00C70FCA">
      <w:pPr>
        <w:numPr>
          <w:ilvl w:val="0"/>
          <w:numId w:val="8"/>
        </w:numPr>
      </w:pPr>
      <w:r w:rsidRPr="00B86700">
        <w:t>§ 8127. TRADEABLE CLEAN HEAT CREDITS</w:t>
      </w:r>
    </w:p>
    <w:p w14:paraId="1EC6ABF7" w14:textId="1DB81A16" w:rsidR="00C70FCA" w:rsidRDefault="00B86700" w:rsidP="00B86700">
      <w:pPr>
        <w:ind w:left="720"/>
      </w:pPr>
      <w:r>
        <w:t>(</w:t>
      </w:r>
      <w:r w:rsidR="00C70FCA" w:rsidRPr="00C70FCA">
        <w:t xml:space="preserve">h) Review of consequences: </w:t>
      </w:r>
      <w:r w:rsidR="00C70FCA" w:rsidRPr="00C70FCA">
        <w:rPr>
          <w:highlight w:val="yellow"/>
        </w:rPr>
        <w:t>The Commission shall biennially assess harmful consequences</w:t>
      </w:r>
      <w:r w:rsidR="00C70FCA" w:rsidRPr="00C70FCA">
        <w:t xml:space="preserve"> that may arise in Vermont or elsewhere from the implementation of specific types of clean heat measures and shall set standards or limits to prevent those consequences. Such consequences shall include environmental burdens as defined in 3 V.S.A. § 6002, </w:t>
      </w:r>
      <w:r w:rsidR="00C70FCA" w:rsidRPr="00C70FCA">
        <w:rPr>
          <w:highlight w:val="yellow"/>
        </w:rPr>
        <w:t>public health,</w:t>
      </w:r>
      <w:r w:rsidR="00C70FCA" w:rsidRPr="00C70FCA">
        <w:t xml:space="preserve"> deforestation or forest degradation, conversion of grasslands, increased emissions of criteria pollutants, damage to watersheds, or the creation of new methane to meet fuel demand.</w:t>
      </w:r>
    </w:p>
    <w:p w14:paraId="52072CE3" w14:textId="77777777" w:rsidR="006A2511" w:rsidRDefault="003B5AA8" w:rsidP="006A2511">
      <w:pPr>
        <w:numPr>
          <w:ilvl w:val="0"/>
          <w:numId w:val="8"/>
        </w:numPr>
      </w:pPr>
      <w:r>
        <w:t>§ 8128. CLEAN HEAT STANDARD TECHNICAL ADVISORY GROUP</w:t>
      </w:r>
    </w:p>
    <w:p w14:paraId="59C278C8" w14:textId="30C36658" w:rsidR="003B5AA8" w:rsidRPr="00C70FCA" w:rsidRDefault="003B5AA8" w:rsidP="006A2511">
      <w:pPr>
        <w:ind w:left="720"/>
      </w:pPr>
      <w:r>
        <w:t>(a) The Commission shall establish the Clean Heat Standard Technical Advisory Group (TAG) to assist the Commission in the ongoing management of the Clean Heat Standard. Its duties shall include</w:t>
      </w:r>
      <w:r w:rsidR="0052573A">
        <w:t>:</w:t>
      </w:r>
    </w:p>
    <w:p w14:paraId="46BFF168" w14:textId="6B6D32A8" w:rsidR="00C70FCA" w:rsidRDefault="00C70FCA" w:rsidP="00972D1A">
      <w:pPr>
        <w:ind w:left="720"/>
      </w:pPr>
      <w:r w:rsidRPr="00C70FCA">
        <w:t xml:space="preserve">(3) </w:t>
      </w:r>
      <w:r w:rsidRPr="00C70FCA">
        <w:rPr>
          <w:highlight w:val="yellow"/>
        </w:rPr>
        <w:t>Periodically assessing and reporting to the Commission</w:t>
      </w:r>
      <w:r w:rsidRPr="00C70FCA">
        <w:t xml:space="preserve"> on the sustainability of the production of clean heat measures by considering factors including greenhouse gas emissions; carbon sequestration and storage; </w:t>
      </w:r>
      <w:r w:rsidRPr="00C70FCA">
        <w:rPr>
          <w:highlight w:val="yellow"/>
        </w:rPr>
        <w:t>human health impacts;</w:t>
      </w:r>
      <w:r w:rsidRPr="00C70FCA">
        <w:t xml:space="preserve"> land use changes; ecological and biodiversity impacts; groundwater and surface water impacts; air, water, and soil pollution; and impacts on food costs.</w:t>
      </w:r>
    </w:p>
    <w:p w14:paraId="39F0818F" w14:textId="2B509C65" w:rsidR="002A5FFF" w:rsidRPr="00C70FCA" w:rsidRDefault="00FC420A" w:rsidP="00972D1A">
      <w:pPr>
        <w:ind w:firstLine="720"/>
      </w:pPr>
      <w:r>
        <w:t xml:space="preserve">(8) </w:t>
      </w:r>
      <w:r w:rsidRPr="00972D1A">
        <w:rPr>
          <w:highlight w:val="yellow"/>
        </w:rPr>
        <w:t>calculating the savings associated with public health benefits</w:t>
      </w:r>
      <w:r>
        <w:t xml:space="preserve"> due to clean heat measures.</w:t>
      </w:r>
    </w:p>
    <w:p w14:paraId="1FDF1DC7" w14:textId="77777777" w:rsidR="004D7A28" w:rsidRDefault="004D7A28" w:rsidP="00C70FCA">
      <w:pPr>
        <w:rPr>
          <w:b/>
          <w:bCs/>
          <w:u w:val="single"/>
        </w:rPr>
      </w:pPr>
    </w:p>
    <w:p w14:paraId="2F9A5792" w14:textId="77777777" w:rsidR="004D7A28" w:rsidRDefault="004D7A28" w:rsidP="00C70FCA">
      <w:pPr>
        <w:rPr>
          <w:b/>
          <w:bCs/>
          <w:u w:val="single"/>
        </w:rPr>
      </w:pPr>
    </w:p>
    <w:p w14:paraId="566A7198" w14:textId="77777777" w:rsidR="004D7A28" w:rsidRDefault="004D7A28">
      <w:pPr>
        <w:rPr>
          <w:b/>
          <w:bCs/>
          <w:u w:val="single"/>
        </w:rPr>
      </w:pPr>
      <w:r>
        <w:rPr>
          <w:b/>
          <w:bCs/>
          <w:u w:val="single"/>
        </w:rPr>
        <w:br w:type="page"/>
      </w:r>
    </w:p>
    <w:p w14:paraId="4C9CF1FB" w14:textId="4F1E3F2D" w:rsidR="00C70FCA" w:rsidRPr="005A6DF7" w:rsidRDefault="00C70FCA" w:rsidP="00C70FCA">
      <w:pPr>
        <w:rPr>
          <w:b/>
          <w:bCs/>
          <w:u w:val="single"/>
        </w:rPr>
      </w:pPr>
      <w:r w:rsidRPr="005A6DF7">
        <w:rPr>
          <w:b/>
          <w:bCs/>
          <w:u w:val="single"/>
        </w:rPr>
        <w:lastRenderedPageBreak/>
        <w:t>Questions for TAG Consideration</w:t>
      </w:r>
    </w:p>
    <w:p w14:paraId="3BFC03CC" w14:textId="77777777" w:rsidR="00C70FCA" w:rsidRPr="00C70FCA" w:rsidRDefault="00C70FCA" w:rsidP="00C70FCA">
      <w:pPr>
        <w:numPr>
          <w:ilvl w:val="0"/>
          <w:numId w:val="9"/>
        </w:numPr>
      </w:pPr>
      <w:r w:rsidRPr="00C70FCA">
        <w:t>If the TAG is required to “periodically” assess and report to the Commission on the sustainability of the production of clean heat measures, on what cadence should this occur? Should it be done biennially to meet the requirement for the Commission to biennially assess harmful consequences?</w:t>
      </w:r>
    </w:p>
    <w:p w14:paraId="4E2A8C3D" w14:textId="77777777" w:rsidR="00C70FCA" w:rsidRDefault="00C70FCA" w:rsidP="00C70FCA">
      <w:pPr>
        <w:numPr>
          <w:ilvl w:val="0"/>
          <w:numId w:val="9"/>
        </w:numPr>
      </w:pPr>
      <w:r w:rsidRPr="00C70FCA">
        <w:t>Should the first review of consequences occur prior to implementation of the CHS to inform the Commission, so it can set standards or limits to prevent harmful consequences? For example, if certain potential clean heat measures are determined to have high risks of negative consequences for human health or the envir</w:t>
      </w:r>
      <w:r w:rsidRPr="00C70FCA">
        <w:t>onment, could they be screened out upfront?</w:t>
      </w:r>
    </w:p>
    <w:p w14:paraId="6E2A99B0" w14:textId="088D9827" w:rsidR="00647D02" w:rsidRPr="00C70FCA" w:rsidRDefault="00647D02" w:rsidP="00C70FCA">
      <w:pPr>
        <w:numPr>
          <w:ilvl w:val="0"/>
          <w:numId w:val="9"/>
        </w:numPr>
      </w:pPr>
      <w:r>
        <w:t xml:space="preserve">What additional </w:t>
      </w:r>
      <w:r w:rsidR="007D5A83">
        <w:t>information</w:t>
      </w:r>
      <w:r w:rsidR="00EB1677">
        <w:t xml:space="preserve"> regarding potential public health impacts would be helpful?</w:t>
      </w:r>
      <w:r w:rsidR="007D5A83">
        <w:t xml:space="preserve">  </w:t>
      </w:r>
      <w:r w:rsidR="008E4CFB">
        <w:t>W</w:t>
      </w:r>
      <w:r w:rsidR="007D5A83">
        <w:t xml:space="preserve">hat form </w:t>
      </w:r>
      <w:r w:rsidR="002654B2">
        <w:t xml:space="preserve">should that information </w:t>
      </w:r>
      <w:proofErr w:type="gramStart"/>
      <w:r w:rsidR="002654B2">
        <w:t>take</w:t>
      </w:r>
      <w:proofErr w:type="gramEnd"/>
      <w:r w:rsidR="007D5A83">
        <w:t xml:space="preserve">? </w:t>
      </w:r>
      <w:r w:rsidR="00C464C7">
        <w:t xml:space="preserve">What (if any) formal decisions should the TAG make related to public health </w:t>
      </w:r>
      <w:r w:rsidR="005929FE">
        <w:t xml:space="preserve">considerations and their </w:t>
      </w:r>
      <w:r w:rsidR="00F04AD8">
        <w:t>application in this process</w:t>
      </w:r>
      <w:r w:rsidR="00C464C7">
        <w:t xml:space="preserve">? </w:t>
      </w:r>
      <w:r w:rsidR="007D5A83">
        <w:t xml:space="preserve">Doing a </w:t>
      </w:r>
      <w:r w:rsidR="001075D2">
        <w:t xml:space="preserve">systematic </w:t>
      </w:r>
      <w:r w:rsidR="007D5A83">
        <w:t xml:space="preserve">and quantifiable analysis of </w:t>
      </w:r>
      <w:r w:rsidR="00E20178">
        <w:t xml:space="preserve">health impacts seems beyond the capacity of the TAG </w:t>
      </w:r>
      <w:r w:rsidR="00873F0D">
        <w:t>to take on directly witho</w:t>
      </w:r>
      <w:r w:rsidR="00873F0D">
        <w:t xml:space="preserve">ut dedicated consultant support. The available scientific evidence </w:t>
      </w:r>
      <w:r w:rsidR="001075D2">
        <w:t>may also not support such an analysis, particularly for emerging fuels and technologies.</w:t>
      </w:r>
    </w:p>
    <w:p w14:paraId="5152E5E9" w14:textId="09D5EFEA" w:rsidR="00C70FCA" w:rsidRDefault="00C70FCA" w:rsidP="00C70FCA">
      <w:pPr>
        <w:numPr>
          <w:ilvl w:val="0"/>
          <w:numId w:val="9"/>
        </w:numPr>
      </w:pPr>
      <w:r w:rsidRPr="00C70FCA">
        <w:t xml:space="preserve">There is </w:t>
      </w:r>
      <w:proofErr w:type="gramStart"/>
      <w:r w:rsidRPr="00C70FCA">
        <w:t>fairly solid</w:t>
      </w:r>
      <w:proofErr w:type="gramEnd"/>
      <w:r w:rsidRPr="00C70FCA">
        <w:t xml:space="preserve"> information on </w:t>
      </w:r>
      <w:proofErr w:type="gramStart"/>
      <w:r w:rsidRPr="00C70FCA">
        <w:t>the human health</w:t>
      </w:r>
      <w:proofErr w:type="gramEnd"/>
      <w:r w:rsidRPr="00C70FCA">
        <w:t xml:space="preserve"> impacts of various clean heat measures, as detailed below. It’s less clear how to evaluate environmental impacts and impacts on food costs for clean heat measures. How should the TAG assess carbon sequestration and storage, land use changes, ecological and biodiversity impacts, impacts on groundwater and surface water, and water and soil pollution? What about impacts on food costs?</w:t>
      </w:r>
    </w:p>
    <w:p w14:paraId="227F88C9" w14:textId="77777777" w:rsidR="004D7A28" w:rsidRDefault="004D7A28" w:rsidP="004D7A28"/>
    <w:p w14:paraId="0B977DF9" w14:textId="77777777" w:rsidR="004D7A28" w:rsidRPr="00C70FCA" w:rsidRDefault="004D7A28" w:rsidP="004D7A28"/>
    <w:p w14:paraId="0F1043FF" w14:textId="77777777" w:rsidR="00E9763E" w:rsidRDefault="00E9763E">
      <w:pPr>
        <w:rPr>
          <w:b/>
          <w:bCs/>
          <w:u w:val="single"/>
        </w:rPr>
      </w:pPr>
      <w:r>
        <w:rPr>
          <w:b/>
          <w:bCs/>
          <w:u w:val="single"/>
        </w:rPr>
        <w:br w:type="page"/>
      </w:r>
    </w:p>
    <w:p w14:paraId="744B0F1B" w14:textId="09EAC83B" w:rsidR="00C70FCA" w:rsidRPr="005A6DF7" w:rsidRDefault="00C70FCA" w:rsidP="00C70FCA">
      <w:pPr>
        <w:rPr>
          <w:b/>
          <w:bCs/>
          <w:u w:val="single"/>
        </w:rPr>
      </w:pPr>
      <w:r w:rsidRPr="005A6DF7">
        <w:rPr>
          <w:b/>
          <w:bCs/>
          <w:u w:val="single"/>
        </w:rPr>
        <w:lastRenderedPageBreak/>
        <w:t>Initial Review of Public Health Impacts of Clean Heat Measures</w:t>
      </w:r>
    </w:p>
    <w:p w14:paraId="6CE5B89E" w14:textId="4A4A65DA" w:rsidR="00B72210" w:rsidRDefault="00C70FCA" w:rsidP="00B72210">
      <w:r w:rsidRPr="00C70FCA">
        <w:t xml:space="preserve">This section provides a high-level summary of potential human health </w:t>
      </w:r>
      <w:r w:rsidR="00FD1CA8">
        <w:t xml:space="preserve">impacts and </w:t>
      </w:r>
      <w:r w:rsidR="00E33167">
        <w:t>considerations</w:t>
      </w:r>
      <w:r w:rsidRPr="00C70FCA">
        <w:t xml:space="preserve"> for several </w:t>
      </w:r>
      <w:r w:rsidR="00EC60CA">
        <w:t xml:space="preserve">groupings </w:t>
      </w:r>
      <w:r w:rsidRPr="00C70FCA">
        <w:t>of clean heat measures</w:t>
      </w:r>
      <w:r w:rsidR="00672FBC">
        <w:t>, based on a non-exhaustive review of peer-reviewed scientific evidence</w:t>
      </w:r>
      <w:r w:rsidRPr="00C70FCA">
        <w:t xml:space="preserve">. It also notes the degree of confidence in the conclusions based on the </w:t>
      </w:r>
      <w:r w:rsidR="00FD1CA8">
        <w:t xml:space="preserve">availability of </w:t>
      </w:r>
      <w:r w:rsidR="003217EF">
        <w:t xml:space="preserve">scientific </w:t>
      </w:r>
      <w:r w:rsidRPr="00C70FCA">
        <w:t xml:space="preserve">literature on </w:t>
      </w:r>
      <w:r w:rsidR="003217EF">
        <w:t xml:space="preserve">related </w:t>
      </w:r>
      <w:r w:rsidRPr="00C70FCA">
        <w:t xml:space="preserve">human health impacts. </w:t>
      </w:r>
      <w:r w:rsidR="004557D6">
        <w:t xml:space="preserve">Unless otherwise noted, the focus of this analysis was on </w:t>
      </w:r>
      <w:r w:rsidR="00951705">
        <w:t>health impacts relating to end use at a residence, not to impacts from upstream in the life cycle</w:t>
      </w:r>
      <w:r w:rsidR="00672FBC">
        <w:t>.</w:t>
      </w:r>
    </w:p>
    <w:p w14:paraId="0DCF884E" w14:textId="64A53154" w:rsidR="5BD14333" w:rsidRDefault="5BD14333" w:rsidP="5A8D3622">
      <w:pPr>
        <w:rPr>
          <w:b/>
          <w:bCs/>
        </w:rPr>
      </w:pPr>
      <w:r w:rsidRPr="5A8D3622">
        <w:rPr>
          <w:b/>
          <w:bCs/>
        </w:rPr>
        <w:t>Home weatherization</w:t>
      </w:r>
      <w:r w:rsidR="21570CA5">
        <w:t xml:space="preserve"> (positive health benefits, high confidence)</w:t>
      </w:r>
    </w:p>
    <w:p w14:paraId="78CF2447" w14:textId="4176799D" w:rsidR="5E939A3D" w:rsidRDefault="5E939A3D" w:rsidP="5A8D3622">
      <w:pPr>
        <w:pStyle w:val="ListParagraph"/>
        <w:numPr>
          <w:ilvl w:val="0"/>
          <w:numId w:val="3"/>
        </w:numPr>
      </w:pPr>
      <w:r>
        <w:t>Reduced combustion emissions</w:t>
      </w:r>
      <w:r w:rsidR="22BEE056">
        <w:t>;</w:t>
      </w:r>
      <w:r w:rsidR="57FC4024">
        <w:t xml:space="preserve"> improved temperature</w:t>
      </w:r>
      <w:r w:rsidR="75DFDEA6">
        <w:t xml:space="preserve"> control and </w:t>
      </w:r>
      <w:r w:rsidR="7B04E2B9">
        <w:t xml:space="preserve">indoor </w:t>
      </w:r>
      <w:r w:rsidR="75DFDEA6">
        <w:t>air quality</w:t>
      </w:r>
      <w:r w:rsidR="68F8EC1F">
        <w:t>;</w:t>
      </w:r>
      <w:r w:rsidR="57FC4024">
        <w:t xml:space="preserve"> </w:t>
      </w:r>
      <w:r w:rsidR="7B9C38F9">
        <w:t xml:space="preserve">reduced humidity, </w:t>
      </w:r>
      <w:r w:rsidR="57FC4024">
        <w:t>mo</w:t>
      </w:r>
      <w:r w:rsidR="3FFE369D">
        <w:t>ld</w:t>
      </w:r>
      <w:r w:rsidR="57FC4024">
        <w:t>,</w:t>
      </w:r>
      <w:r w:rsidR="55C5DB1A">
        <w:t xml:space="preserve"> and pest</w:t>
      </w:r>
      <w:r w:rsidR="1621776C">
        <w:t xml:space="preserve"> intrusion; </w:t>
      </w:r>
      <w:r w:rsidR="77C2F1D7">
        <w:t xml:space="preserve">money saved on fuel often directly supports better health; </w:t>
      </w:r>
      <w:r w:rsidR="1621776C">
        <w:t>opportunities for other health and safety improvements</w:t>
      </w:r>
      <w:r w:rsidR="00274CDB">
        <w:t>.</w:t>
      </w:r>
    </w:p>
    <w:p w14:paraId="15BBA1B8" w14:textId="79245AF7" w:rsidR="13E97E02" w:rsidRDefault="13E97E02" w:rsidP="5A8D3622">
      <w:pPr>
        <w:pStyle w:val="ListParagraph"/>
        <w:numPr>
          <w:ilvl w:val="1"/>
          <w:numId w:val="3"/>
        </w:numPr>
      </w:pPr>
      <w:hyperlink r:id="rId11">
        <w:r w:rsidRPr="5A8D3622">
          <w:rPr>
            <w:rStyle w:val="Hyperlink"/>
          </w:rPr>
          <w:t>OEO estimated in 2024</w:t>
        </w:r>
      </w:hyperlink>
      <w:r>
        <w:t xml:space="preserve"> an average household savings of $1,026 per year from reduced fuel demand</w:t>
      </w:r>
      <w:r w:rsidR="00274CDB">
        <w:t>.</w:t>
      </w:r>
    </w:p>
    <w:p w14:paraId="7EDBFD78" w14:textId="02C2BB42" w:rsidR="13E97E02" w:rsidRDefault="13E97E02" w:rsidP="5A8D3622">
      <w:pPr>
        <w:pStyle w:val="ListParagraph"/>
        <w:numPr>
          <w:ilvl w:val="1"/>
          <w:numId w:val="3"/>
        </w:numPr>
      </w:pPr>
      <w:hyperlink r:id="rId12" w:anchor=":~:text=Weatherizing%202%2C000%20low-income%20homes%20in%20Vermont%20would%20help,by%20reducing%20fine%20particulate%20emissions%20from%20heating%20systems.">
        <w:r w:rsidRPr="5A8D3622">
          <w:rPr>
            <w:rStyle w:val="Hyperlink"/>
          </w:rPr>
          <w:t>VDH estimated in 2018</w:t>
        </w:r>
      </w:hyperlink>
      <w:r>
        <w:t xml:space="preserve"> $1,302 per year in public health savings per year from reduced </w:t>
      </w:r>
      <w:r w:rsidR="0011525E">
        <w:t xml:space="preserve">outdoor air </w:t>
      </w:r>
      <w:r>
        <w:t>e</w:t>
      </w:r>
      <w:r w:rsidR="3E820C96">
        <w:t xml:space="preserve">missions and reduced </w:t>
      </w:r>
      <w:r w:rsidR="0011525E">
        <w:t xml:space="preserve">resident </w:t>
      </w:r>
      <w:r w:rsidR="3E820C96">
        <w:t>impacts from cold, heat, and asthma</w:t>
      </w:r>
      <w:r w:rsidR="00274CDB">
        <w:t>.</w:t>
      </w:r>
    </w:p>
    <w:p w14:paraId="65CF5ECC" w14:textId="207D71C6" w:rsidR="5E939A3D" w:rsidRDefault="5E939A3D" w:rsidP="5A8D3622">
      <w:pPr>
        <w:pStyle w:val="ListParagraph"/>
        <w:numPr>
          <w:ilvl w:val="0"/>
          <w:numId w:val="3"/>
        </w:numPr>
      </w:pPr>
      <w:r>
        <w:t>Need to ensure sufficient ventilation</w:t>
      </w:r>
      <w:r w:rsidR="00274CDB">
        <w:t xml:space="preserve"> and</w:t>
      </w:r>
      <w:r>
        <w:t xml:space="preserve"> treatment of indoor air</w:t>
      </w:r>
      <w:r w:rsidR="1540E19A">
        <w:t xml:space="preserve"> pollutants</w:t>
      </w:r>
      <w:r w:rsidR="00274CDB">
        <w:t xml:space="preserve"> after </w:t>
      </w:r>
      <w:r w:rsidR="0095527C">
        <w:t>weatherization</w:t>
      </w:r>
      <w:r w:rsidR="00274CDB">
        <w:t>.</w:t>
      </w:r>
    </w:p>
    <w:p w14:paraId="1334EE9D" w14:textId="7E15E421" w:rsidR="1CD006F1" w:rsidRDefault="1CD006F1" w:rsidP="5A8D3622">
      <w:pPr>
        <w:rPr>
          <w:b/>
          <w:bCs/>
        </w:rPr>
      </w:pPr>
      <w:r w:rsidRPr="5A8D3622">
        <w:rPr>
          <w:b/>
          <w:bCs/>
        </w:rPr>
        <w:t xml:space="preserve">Electric heating and </w:t>
      </w:r>
      <w:r w:rsidR="5A7CA5AE" w:rsidRPr="5A8D3622">
        <w:rPr>
          <w:b/>
          <w:bCs/>
        </w:rPr>
        <w:t>appliances</w:t>
      </w:r>
      <w:r w:rsidR="00AD6774">
        <w:t xml:space="preserve"> (positive health benefits, high confidence)</w:t>
      </w:r>
    </w:p>
    <w:p w14:paraId="3E60548A" w14:textId="03AF78D1" w:rsidR="18ADD223" w:rsidRDefault="007417C7" w:rsidP="5A8D3622">
      <w:pPr>
        <w:pStyle w:val="ListParagraph"/>
        <w:numPr>
          <w:ilvl w:val="0"/>
          <w:numId w:val="4"/>
        </w:numPr>
      </w:pPr>
      <w:r>
        <w:t>Compared to conventional liquid or solid heating fuels: a</w:t>
      </w:r>
      <w:r w:rsidR="00B85032">
        <w:t xml:space="preserve">voided </w:t>
      </w:r>
      <w:r w:rsidR="18ADD223">
        <w:t>combustion emissions</w:t>
      </w:r>
      <w:r w:rsidR="003217EF">
        <w:t>;</w:t>
      </w:r>
      <w:r w:rsidR="18ADD223">
        <w:t xml:space="preserve"> </w:t>
      </w:r>
      <w:r w:rsidR="003217EF">
        <w:t xml:space="preserve">avoided </w:t>
      </w:r>
      <w:r w:rsidR="5684F5A9">
        <w:t xml:space="preserve">indoor </w:t>
      </w:r>
      <w:r w:rsidR="3FE2EDD8">
        <w:t>e</w:t>
      </w:r>
      <w:r w:rsidR="4CA8DA22">
        <w:t xml:space="preserve">xposure to </w:t>
      </w:r>
      <w:r w:rsidR="3539BCDB">
        <w:t xml:space="preserve">nitrogen </w:t>
      </w:r>
      <w:r w:rsidR="430AEBE0">
        <w:t xml:space="preserve">dioxide and </w:t>
      </w:r>
      <w:r w:rsidR="339335C8">
        <w:t xml:space="preserve">other </w:t>
      </w:r>
      <w:r w:rsidR="4EE69FC6">
        <w:t xml:space="preserve">air </w:t>
      </w:r>
      <w:r w:rsidR="339335C8">
        <w:t>toxic</w:t>
      </w:r>
      <w:r w:rsidR="6A2A0238">
        <w:t>s</w:t>
      </w:r>
      <w:r w:rsidR="339335C8">
        <w:t xml:space="preserve"> </w:t>
      </w:r>
      <w:r w:rsidR="75A22FE2">
        <w:t>(</w:t>
      </w:r>
      <w:hyperlink r:id="rId13">
        <w:r w:rsidR="16DA99B5" w:rsidRPr="5A8D3622">
          <w:rPr>
            <w:rStyle w:val="Hyperlink"/>
          </w:rPr>
          <w:t xml:space="preserve">particularly </w:t>
        </w:r>
        <w:r w:rsidR="339335C8" w:rsidRPr="5A8D3622">
          <w:rPr>
            <w:rStyle w:val="Hyperlink"/>
          </w:rPr>
          <w:t>from gas cook stoves</w:t>
        </w:r>
      </w:hyperlink>
      <w:r w:rsidR="339335C8">
        <w:t>)</w:t>
      </w:r>
      <w:r w:rsidR="007F6249">
        <w:t>;</w:t>
      </w:r>
      <w:r w:rsidR="00B85032">
        <w:t xml:space="preserve"> </w:t>
      </w:r>
      <w:r w:rsidR="003217EF">
        <w:t xml:space="preserve">avoided </w:t>
      </w:r>
      <w:r w:rsidR="00B85032">
        <w:t>risk of carbon monoxide poisoning</w:t>
      </w:r>
      <w:r w:rsidR="00274CDB">
        <w:t>.</w:t>
      </w:r>
    </w:p>
    <w:p w14:paraId="04578216" w14:textId="5AB15B53" w:rsidR="32800973" w:rsidRDefault="32800973" w:rsidP="007F0D0D">
      <w:pPr>
        <w:pStyle w:val="ListParagraph"/>
        <w:numPr>
          <w:ilvl w:val="0"/>
          <w:numId w:val="4"/>
        </w:numPr>
      </w:pPr>
      <w:r>
        <w:t xml:space="preserve">Heat pumps </w:t>
      </w:r>
      <w:r w:rsidR="3D063B91">
        <w:t xml:space="preserve">provide </w:t>
      </w:r>
      <w:r w:rsidR="003217EF">
        <w:t xml:space="preserve">health </w:t>
      </w:r>
      <w:r w:rsidR="00B072BD">
        <w:t xml:space="preserve">co-benefits such as </w:t>
      </w:r>
      <w:r w:rsidR="3D063B91">
        <w:t>increasingly necessary air conditioning</w:t>
      </w:r>
      <w:r w:rsidR="008F248E">
        <w:t xml:space="preserve"> and </w:t>
      </w:r>
      <w:r w:rsidR="00B072BD">
        <w:t>dehumidification</w:t>
      </w:r>
      <w:r w:rsidR="00274CDB">
        <w:t>.</w:t>
      </w:r>
    </w:p>
    <w:p w14:paraId="7A1189B5" w14:textId="76AEF439" w:rsidR="45F9C971" w:rsidRDefault="45F9C971" w:rsidP="5A8D3622">
      <w:pPr>
        <w:rPr>
          <w:b/>
          <w:bCs/>
        </w:rPr>
      </w:pPr>
      <w:r w:rsidRPr="5A8D3622">
        <w:rPr>
          <w:b/>
          <w:bCs/>
        </w:rPr>
        <w:t>Wood</w:t>
      </w:r>
      <w:r w:rsidR="42F50296" w:rsidRPr="5A8D3622">
        <w:rPr>
          <w:b/>
          <w:bCs/>
        </w:rPr>
        <w:t xml:space="preserve"> heating</w:t>
      </w:r>
      <w:r w:rsidR="23446647">
        <w:t xml:space="preserve"> (negative health benefits, high confidence)</w:t>
      </w:r>
    </w:p>
    <w:p w14:paraId="16ED9EF3" w14:textId="227FB014" w:rsidR="485B6105" w:rsidRDefault="485B6105" w:rsidP="5A8D3622">
      <w:pPr>
        <w:pStyle w:val="ListParagraph"/>
        <w:numPr>
          <w:ilvl w:val="0"/>
          <w:numId w:val="2"/>
        </w:numPr>
      </w:pPr>
      <w:r>
        <w:t xml:space="preserve">Residential </w:t>
      </w:r>
      <w:r w:rsidR="0D4F7EE3">
        <w:t>w</w:t>
      </w:r>
      <w:r w:rsidR="07CF40CB">
        <w:t xml:space="preserve">ood </w:t>
      </w:r>
      <w:r w:rsidR="07CF40CB">
        <w:t xml:space="preserve">heating </w:t>
      </w:r>
      <w:r w:rsidR="00CB58FD">
        <w:t xml:space="preserve">emits </w:t>
      </w:r>
      <w:r w:rsidR="07CF40CB">
        <w:t xml:space="preserve">substantially more fine particulate matter </w:t>
      </w:r>
      <w:r w:rsidR="00A0669D">
        <w:t xml:space="preserve">and air toxics </w:t>
      </w:r>
      <w:r w:rsidR="07CF40CB">
        <w:t xml:space="preserve">than other non-woody </w:t>
      </w:r>
      <w:r w:rsidR="52002B00">
        <w:t xml:space="preserve">residential </w:t>
      </w:r>
      <w:r w:rsidR="07CF40CB">
        <w:t>fuels</w:t>
      </w:r>
      <w:r w:rsidR="00D3269D">
        <w:t>.</w:t>
      </w:r>
      <w:r w:rsidR="00535E95">
        <w:t xml:space="preserve"> </w:t>
      </w:r>
      <w:r w:rsidR="004D729D">
        <w:t xml:space="preserve">Fine particulate matter </w:t>
      </w:r>
      <w:r w:rsidR="00DD4E43">
        <w:t>(PM</w:t>
      </w:r>
      <w:r w:rsidR="00DD4E43" w:rsidRPr="00DD4E43">
        <w:rPr>
          <w:vertAlign w:val="subscript"/>
        </w:rPr>
        <w:t>2.5</w:t>
      </w:r>
      <w:r w:rsidR="00DD4E43">
        <w:t>)</w:t>
      </w:r>
      <w:r w:rsidR="00E65549">
        <w:t xml:space="preserve"> </w:t>
      </w:r>
      <w:r w:rsidR="00535E95" w:rsidRPr="00535E95">
        <w:t>is a critical pollutant of concern due to decades of research establishing significant associations with human mortality and morbidity.</w:t>
      </w:r>
    </w:p>
    <w:p w14:paraId="19679E01" w14:textId="495184D3" w:rsidR="7CEB8D16" w:rsidRDefault="7CEB8D16" w:rsidP="5A8D3622">
      <w:pPr>
        <w:pStyle w:val="ListParagraph"/>
        <w:numPr>
          <w:ilvl w:val="1"/>
          <w:numId w:val="2"/>
        </w:numPr>
      </w:pPr>
      <w:r>
        <w:t xml:space="preserve">This is true for all wood </w:t>
      </w:r>
      <w:r>
        <w:t xml:space="preserve">fuel types and </w:t>
      </w:r>
      <w:r w:rsidR="00D3269D">
        <w:t>heating equipment</w:t>
      </w:r>
      <w:r>
        <w:t xml:space="preserve">, though </w:t>
      </w:r>
      <w:r w:rsidR="02B9F521">
        <w:t>there is a spectrum from most</w:t>
      </w:r>
      <w:r w:rsidR="00FF7EEB">
        <w:t xml:space="preserve"> -&gt; </w:t>
      </w:r>
      <w:r w:rsidR="02B9F521">
        <w:t xml:space="preserve">least </w:t>
      </w:r>
      <w:r w:rsidR="02B9F521">
        <w:t xml:space="preserve">polluting </w:t>
      </w:r>
      <w:r w:rsidR="00313FE6">
        <w:t xml:space="preserve">per </w:t>
      </w:r>
      <w:r w:rsidR="00104B16">
        <w:t xml:space="preserve">heat output </w:t>
      </w:r>
      <w:r w:rsidR="02B9F521">
        <w:t>(uncertified wood stove -&gt; EPA</w:t>
      </w:r>
      <w:r w:rsidR="00D3269D">
        <w:t>-</w:t>
      </w:r>
      <w:r w:rsidR="02B9F521">
        <w:t xml:space="preserve">certified wood stove </w:t>
      </w:r>
      <w:r w:rsidR="006B7900">
        <w:t>(noncatalytic) -&gt; EPA certified wood stove (catalytic/hybrid</w:t>
      </w:r>
      <w:r w:rsidR="000A3413">
        <w:t>)</w:t>
      </w:r>
      <w:r w:rsidR="006B7900">
        <w:t xml:space="preserve"> </w:t>
      </w:r>
      <w:r w:rsidR="0D4FC291">
        <w:t xml:space="preserve">-&gt; pellet stove </w:t>
      </w:r>
      <w:r w:rsidR="005B1E03">
        <w:t>or</w:t>
      </w:r>
      <w:r w:rsidR="00150B98">
        <w:t xml:space="preserve"> </w:t>
      </w:r>
      <w:r w:rsidR="02B9F521">
        <w:t>boiler</w:t>
      </w:r>
      <w:r w:rsidR="49AE2825">
        <w:t>)</w:t>
      </w:r>
      <w:r w:rsidR="00AC24C9">
        <w:t xml:space="preserve">. </w:t>
      </w:r>
      <w:r w:rsidR="007C597B">
        <w:t xml:space="preserve">There </w:t>
      </w:r>
      <w:r w:rsidR="00DE3CFE">
        <w:t xml:space="preserve">is a wide range of </w:t>
      </w:r>
      <w:r w:rsidR="007C597B">
        <w:t>o</w:t>
      </w:r>
      <w:r w:rsidR="00AC24C9">
        <w:t xml:space="preserve">ther </w:t>
      </w:r>
      <w:proofErr w:type="gramStart"/>
      <w:r w:rsidR="00AC24C9">
        <w:t>whole</w:t>
      </w:r>
      <w:proofErr w:type="gramEnd"/>
      <w:r w:rsidR="00DE3CFE">
        <w:t>-</w:t>
      </w:r>
      <w:r w:rsidR="00AC24C9">
        <w:t xml:space="preserve">house </w:t>
      </w:r>
      <w:r w:rsidR="007C597B">
        <w:t>wood-fueled systems (boilers or furnaces</w:t>
      </w:r>
      <w:r w:rsidR="00DE3CFE">
        <w:t xml:space="preserve"> using cordwood or wood chips</w:t>
      </w:r>
      <w:r w:rsidR="007C597B">
        <w:t>)</w:t>
      </w:r>
      <w:r w:rsidR="005A3F25">
        <w:t xml:space="preserve"> that are hard to place in this spectrum due to a lack of </w:t>
      </w:r>
      <w:r w:rsidR="0026141D">
        <w:t xml:space="preserve">scientific </w:t>
      </w:r>
      <w:r w:rsidR="005A3F25">
        <w:t>emissions data.</w:t>
      </w:r>
    </w:p>
    <w:p w14:paraId="2C12FB4C" w14:textId="04F3CAEA" w:rsidR="00E56BC5" w:rsidRDefault="00DF148B" w:rsidP="5A8D3622">
      <w:pPr>
        <w:pStyle w:val="ListParagraph"/>
        <w:numPr>
          <w:ilvl w:val="0"/>
          <w:numId w:val="2"/>
        </w:numPr>
      </w:pPr>
      <w:r>
        <w:t xml:space="preserve">From </w:t>
      </w:r>
      <w:r w:rsidR="00683B6C">
        <w:t xml:space="preserve">2022 </w:t>
      </w:r>
      <w:r w:rsidR="00E56BC5">
        <w:t xml:space="preserve">VDH analysis using </w:t>
      </w:r>
      <w:r>
        <w:t xml:space="preserve">EPA </w:t>
      </w:r>
      <w:r w:rsidR="00683B6C">
        <w:t>Co-Benefits Risk Assessment (</w:t>
      </w:r>
      <w:r>
        <w:t>COBRA</w:t>
      </w:r>
      <w:r w:rsidR="00683B6C">
        <w:t>)</w:t>
      </w:r>
      <w:r>
        <w:t xml:space="preserve"> tool:</w:t>
      </w:r>
    </w:p>
    <w:p w14:paraId="5C0BDB2A" w14:textId="3919CB4B" w:rsidR="00002044" w:rsidRDefault="00002044" w:rsidP="00002044">
      <w:pPr>
        <w:pStyle w:val="ListParagraph"/>
        <w:numPr>
          <w:ilvl w:val="1"/>
          <w:numId w:val="2"/>
        </w:numPr>
      </w:pPr>
      <w:r>
        <w:t xml:space="preserve">97% of the monetizable health impact from residential heating </w:t>
      </w:r>
      <w:r w:rsidR="00AD48AB">
        <w:t xml:space="preserve">emissions </w:t>
      </w:r>
      <w:r>
        <w:t>in Vermont is attributable to wood fuel combustion.</w:t>
      </w:r>
    </w:p>
    <w:p w14:paraId="4A44D1AF" w14:textId="5AD8817B" w:rsidR="00683B6C" w:rsidRDefault="00AD48AB" w:rsidP="00E56BC5">
      <w:pPr>
        <w:pStyle w:val="ListParagraph"/>
        <w:numPr>
          <w:ilvl w:val="1"/>
          <w:numId w:val="2"/>
        </w:numPr>
      </w:pPr>
      <w:r>
        <w:t>M</w:t>
      </w:r>
      <w:r w:rsidR="4D4A2C88">
        <w:t xml:space="preserve">onetizable health impact of residential wood heating in Vermont is </w:t>
      </w:r>
      <w:r w:rsidR="00A54706">
        <w:t>$105M-</w:t>
      </w:r>
      <w:r w:rsidR="008C52FB">
        <w:t xml:space="preserve">$238M </w:t>
      </w:r>
      <w:r w:rsidR="00683B6C">
        <w:t>(</w:t>
      </w:r>
      <w:r w:rsidR="4D4A2C88">
        <w:t>about 30x greater than for all other residential fuels combined</w:t>
      </w:r>
      <w:r w:rsidR="00683B6C">
        <w:t>)</w:t>
      </w:r>
      <w:r w:rsidR="4D4A2C88">
        <w:t xml:space="preserve">. </w:t>
      </w:r>
    </w:p>
    <w:p w14:paraId="50138FB0" w14:textId="221A0F5E" w:rsidR="00683B6C" w:rsidRDefault="008C52FB" w:rsidP="00E56BC5">
      <w:pPr>
        <w:pStyle w:val="ListParagraph"/>
        <w:numPr>
          <w:ilvl w:val="1"/>
          <w:numId w:val="2"/>
        </w:numPr>
      </w:pPr>
      <w:r>
        <w:t>Pollution from wood heating is associated with 10-22 e</w:t>
      </w:r>
      <w:r w:rsidR="0CE2A4DB">
        <w:t>arly deaths</w:t>
      </w:r>
      <w:r w:rsidR="00683B6C">
        <w:t xml:space="preserve"> (</w:t>
      </w:r>
      <w:r>
        <w:t xml:space="preserve">about </w:t>
      </w:r>
      <w:r w:rsidR="4D4A2C88">
        <w:t>20x greater</w:t>
      </w:r>
      <w:r>
        <w:t xml:space="preserve"> </w:t>
      </w:r>
      <w:r w:rsidR="007D27F8">
        <w:t>that for other residential fuels</w:t>
      </w:r>
      <w:r w:rsidR="00683B6C">
        <w:t>).</w:t>
      </w:r>
    </w:p>
    <w:p w14:paraId="59650010" w14:textId="608B0389" w:rsidR="4D4A2C88" w:rsidRDefault="0071115C" w:rsidP="00E56BC5">
      <w:pPr>
        <w:pStyle w:val="ListParagraph"/>
        <w:numPr>
          <w:ilvl w:val="1"/>
          <w:numId w:val="2"/>
        </w:numPr>
      </w:pPr>
      <w:r>
        <w:lastRenderedPageBreak/>
        <w:t>Cancer risk from wood heating pollution is 2.5 per million</w:t>
      </w:r>
      <w:r w:rsidR="00683B6C">
        <w:t xml:space="preserve"> (about 20x greater than for other residential fuels).</w:t>
      </w:r>
    </w:p>
    <w:p w14:paraId="12FAEB52" w14:textId="795C4664" w:rsidR="003A2456" w:rsidRDefault="00911542" w:rsidP="003A2456">
      <w:pPr>
        <w:pStyle w:val="ListParagraph"/>
        <w:numPr>
          <w:ilvl w:val="0"/>
          <w:numId w:val="2"/>
        </w:numPr>
      </w:pPr>
      <w:r>
        <w:t xml:space="preserve">Replacing fossil </w:t>
      </w:r>
      <w:r>
        <w:t>fueled heating with wood heating</w:t>
      </w:r>
      <w:r w:rsidR="00032EAD">
        <w:t>, especially cordwood,</w:t>
      </w:r>
      <w:r>
        <w:t xml:space="preserve"> </w:t>
      </w:r>
      <w:r w:rsidR="0026141D">
        <w:t>w</w:t>
      </w:r>
      <w:r w:rsidR="0045624B">
        <w:t xml:space="preserve">ould </w:t>
      </w:r>
      <w:r w:rsidR="00E57206">
        <w:t xml:space="preserve">likely </w:t>
      </w:r>
      <w:r w:rsidR="004F0CC3">
        <w:t xml:space="preserve">have </w:t>
      </w:r>
      <w:r w:rsidR="00C8768E">
        <w:t>a</w:t>
      </w:r>
      <w:r w:rsidR="004F0CC3">
        <w:t xml:space="preserve"> harmful impact on human health</w:t>
      </w:r>
      <w:r w:rsidR="0045624B">
        <w:t xml:space="preserve"> </w:t>
      </w:r>
      <w:proofErr w:type="gramStart"/>
      <w:r w:rsidR="0045624B">
        <w:t>as a result of</w:t>
      </w:r>
      <w:proofErr w:type="gramEnd"/>
      <w:r w:rsidR="0045624B">
        <w:t xml:space="preserve"> </w:t>
      </w:r>
      <w:r w:rsidR="00191368">
        <w:t xml:space="preserve">increased </w:t>
      </w:r>
      <w:r w:rsidR="00617A0C">
        <w:t xml:space="preserve">air pollution </w:t>
      </w:r>
      <w:r w:rsidR="00191368">
        <w:t>emissions</w:t>
      </w:r>
      <w:r w:rsidR="0045624B">
        <w:t>. T</w:t>
      </w:r>
      <w:r w:rsidR="00C2622F">
        <w:t>he magnitude depends on what type of wood heating equipment is used</w:t>
      </w:r>
      <w:r w:rsidR="00191368">
        <w:t xml:space="preserve"> and what is being replaced</w:t>
      </w:r>
      <w:r w:rsidR="00C2622F">
        <w:t>.</w:t>
      </w:r>
    </w:p>
    <w:p w14:paraId="31FFC9AF" w14:textId="2229AB04" w:rsidR="00C2622F" w:rsidRDefault="00C2622F" w:rsidP="00183E8F">
      <w:pPr>
        <w:pStyle w:val="ListParagraph"/>
        <w:numPr>
          <w:ilvl w:val="1"/>
          <w:numId w:val="2"/>
        </w:numPr>
      </w:pPr>
      <w:r>
        <w:t>Replacing co</w:t>
      </w:r>
      <w:r>
        <w:t>rdwood stoves</w:t>
      </w:r>
      <w:r w:rsidR="002105E5">
        <w:t xml:space="preserve"> and boilers</w:t>
      </w:r>
      <w:r>
        <w:t xml:space="preserve"> w</w:t>
      </w:r>
      <w:r w:rsidR="00FA5FE0">
        <w:t xml:space="preserve">ith pellet stoves or </w:t>
      </w:r>
      <w:r w:rsidR="00C24C2C">
        <w:t>boilers</w:t>
      </w:r>
      <w:r w:rsidR="00A843C5">
        <w:t xml:space="preserve"> has the potential to provide a </w:t>
      </w:r>
      <w:r w:rsidR="00991770">
        <w:t xml:space="preserve">substantial </w:t>
      </w:r>
      <w:r w:rsidR="00A843C5">
        <w:t>public health benefit.</w:t>
      </w:r>
      <w:r w:rsidR="00F75B77">
        <w:t xml:space="preserve"> </w:t>
      </w:r>
      <w:r w:rsidR="00F75B77" w:rsidRPr="00F75B77">
        <w:t>Pellet stoves a</w:t>
      </w:r>
      <w:r w:rsidR="00C85B97">
        <w:t>re</w:t>
      </w:r>
      <w:r w:rsidR="00F75B77" w:rsidRPr="00F75B77">
        <w:t xml:space="preserve"> very low emitting for everything except trace metals of health concern (Pb, Cd, As). In general, emissions </w:t>
      </w:r>
      <w:r w:rsidR="00C85B97">
        <w:t xml:space="preserve">from pellet heating systems are a much lower </w:t>
      </w:r>
      <w:r w:rsidR="00053397">
        <w:t>concern than</w:t>
      </w:r>
      <w:r w:rsidR="00F75B77" w:rsidRPr="00F75B77">
        <w:t xml:space="preserve"> cordwood emissions with respect to health impacts. </w:t>
      </w:r>
      <w:r w:rsidR="00CD64A9">
        <w:t>Compared to cordwood emissions, p</w:t>
      </w:r>
      <w:r w:rsidR="00053397">
        <w:t>ellet emissions have v</w:t>
      </w:r>
      <w:r w:rsidR="00F75B77" w:rsidRPr="00F75B77">
        <w:t xml:space="preserve">ery low </w:t>
      </w:r>
      <w:r w:rsidR="00DD4E43">
        <w:t>particulate matter</w:t>
      </w:r>
      <w:r w:rsidR="00F75B77" w:rsidRPr="00F75B77">
        <w:t xml:space="preserve">, </w:t>
      </w:r>
      <w:r w:rsidR="00DD4E43">
        <w:t>black carbon</w:t>
      </w:r>
      <w:r w:rsidR="00F75B77" w:rsidRPr="00F75B77">
        <w:t xml:space="preserve">, volatile organics (including carcinogenic VOCs), </w:t>
      </w:r>
      <w:r w:rsidR="00053397">
        <w:t xml:space="preserve">and </w:t>
      </w:r>
      <w:r w:rsidR="00F75B77" w:rsidRPr="00F75B77">
        <w:t xml:space="preserve">de minimus </w:t>
      </w:r>
      <w:r w:rsidR="00183E8F">
        <w:t>polycyclic aromatic hydrocarbons (</w:t>
      </w:r>
      <w:r w:rsidR="00F75B77" w:rsidRPr="00F75B77">
        <w:t>PAHs</w:t>
      </w:r>
      <w:r w:rsidR="00183E8F">
        <w:t>)</w:t>
      </w:r>
      <w:r w:rsidR="00F75B77" w:rsidRPr="00F75B77">
        <w:t>.</w:t>
      </w:r>
    </w:p>
    <w:p w14:paraId="6C879400" w14:textId="10DC2D1E" w:rsidR="008A4BDF" w:rsidRDefault="008A4BDF" w:rsidP="008A4BDF">
      <w:pPr>
        <w:pStyle w:val="ListParagraph"/>
        <w:numPr>
          <w:ilvl w:val="0"/>
          <w:numId w:val="2"/>
        </w:numPr>
      </w:pPr>
      <w:r>
        <w:t>Manuall</w:t>
      </w:r>
      <w:r>
        <w:t>y</w:t>
      </w:r>
      <w:r w:rsidR="009F3D2B">
        <w:t xml:space="preserve"> </w:t>
      </w:r>
      <w:r>
        <w:t xml:space="preserve">operated </w:t>
      </w:r>
      <w:r>
        <w:t xml:space="preserve">wood stoves </w:t>
      </w:r>
      <w:r w:rsidR="00656F9B">
        <w:t>can continue providing heat in the event of power loss.</w:t>
      </w:r>
    </w:p>
    <w:p w14:paraId="7604EED0" w14:textId="7B11D679" w:rsidR="51775613" w:rsidRPr="006D03AA" w:rsidRDefault="51775613" w:rsidP="5A8D3622">
      <w:r w:rsidRPr="5A8D3622">
        <w:rPr>
          <w:b/>
          <w:bCs/>
        </w:rPr>
        <w:t>Biofuels and hydrogen</w:t>
      </w:r>
      <w:r w:rsidR="006D03AA">
        <w:rPr>
          <w:b/>
          <w:bCs/>
        </w:rPr>
        <w:t xml:space="preserve"> </w:t>
      </w:r>
      <w:r w:rsidR="006D03AA">
        <w:t>(mixed findings, low confidence due to limited research available)</w:t>
      </w:r>
    </w:p>
    <w:p w14:paraId="7E1C57B5" w14:textId="686BEA11" w:rsidR="009912C5" w:rsidRPr="00BD542A" w:rsidRDefault="009912C5" w:rsidP="009912C5">
      <w:pPr>
        <w:pStyle w:val="ListParagraph"/>
        <w:numPr>
          <w:ilvl w:val="0"/>
          <w:numId w:val="7"/>
        </w:numPr>
        <w:rPr>
          <w:b/>
          <w:bCs/>
        </w:rPr>
      </w:pPr>
      <w:r>
        <w:t xml:space="preserve">Research on air quality and health impacts of liquid biofuels is limited. Most of that limited research is focused on analyzing biofuels v. conventional </w:t>
      </w:r>
      <w:r w:rsidR="00D87F57">
        <w:t xml:space="preserve">transportation </w:t>
      </w:r>
      <w:r>
        <w:t xml:space="preserve">fuels </w:t>
      </w:r>
      <w:r w:rsidR="00D87F57">
        <w:t>(diesel or gasoline)</w:t>
      </w:r>
      <w:r>
        <w:t>. Findings differ by characteristics of the biofuel (e.g., feedstock, blend), engine</w:t>
      </w:r>
      <w:r w:rsidR="000641FF">
        <w:t xml:space="preserve"> type</w:t>
      </w:r>
      <w:r>
        <w:t xml:space="preserve">, consideration of part or </w:t>
      </w:r>
      <w:proofErr w:type="gramStart"/>
      <w:r>
        <w:t>all of</w:t>
      </w:r>
      <w:proofErr w:type="gramEnd"/>
      <w:r>
        <w:t xml:space="preserve"> the lifecycle impacts, etc.</w:t>
      </w:r>
    </w:p>
    <w:p w14:paraId="205DAC1F" w14:textId="77777777" w:rsidR="009912C5" w:rsidRPr="006A2E53" w:rsidRDefault="009912C5" w:rsidP="009912C5">
      <w:pPr>
        <w:pStyle w:val="ListParagraph"/>
        <w:numPr>
          <w:ilvl w:val="0"/>
          <w:numId w:val="7"/>
        </w:numPr>
        <w:rPr>
          <w:b/>
          <w:bCs/>
        </w:rPr>
      </w:pPr>
      <w:r>
        <w:t xml:space="preserve">Some </w:t>
      </w:r>
      <w:proofErr w:type="gramStart"/>
      <w:r>
        <w:t>fairly consistent</w:t>
      </w:r>
      <w:proofErr w:type="gramEnd"/>
      <w:r>
        <w:t xml:space="preserve"> findings across the review literature include:</w:t>
      </w:r>
    </w:p>
    <w:p w14:paraId="44A0F45B" w14:textId="77777777" w:rsidR="009912C5" w:rsidRPr="00072737" w:rsidRDefault="009912C5" w:rsidP="009912C5">
      <w:pPr>
        <w:pStyle w:val="ListParagraph"/>
        <w:numPr>
          <w:ilvl w:val="1"/>
          <w:numId w:val="7"/>
        </w:numPr>
        <w:rPr>
          <w:b/>
          <w:bCs/>
        </w:rPr>
      </w:pPr>
      <w:r>
        <w:t>Health benefits of biofuels compared to conventional fuels include reduced particulate matter and carbon monoxide.</w:t>
      </w:r>
    </w:p>
    <w:p w14:paraId="6DCB31C1" w14:textId="77777777" w:rsidR="009912C5" w:rsidRPr="00072737" w:rsidRDefault="009912C5" w:rsidP="009912C5">
      <w:pPr>
        <w:pStyle w:val="ListParagraph"/>
        <w:numPr>
          <w:ilvl w:val="1"/>
          <w:numId w:val="7"/>
        </w:numPr>
        <w:rPr>
          <w:b/>
          <w:bCs/>
        </w:rPr>
      </w:pPr>
      <w:r>
        <w:t>Negative health impacts of biofuels compared to conventional fuels include increased nitrogen oxides, sulfur dioxide, formaldehyde, and overall toxicity.</w:t>
      </w:r>
    </w:p>
    <w:p w14:paraId="2740AC21" w14:textId="17716535" w:rsidR="009912C5" w:rsidRPr="00CF1AE9" w:rsidRDefault="009912C5" w:rsidP="009912C5">
      <w:pPr>
        <w:pStyle w:val="ListParagraph"/>
        <w:numPr>
          <w:ilvl w:val="1"/>
          <w:numId w:val="7"/>
        </w:numPr>
        <w:rPr>
          <w:b/>
          <w:bCs/>
        </w:rPr>
      </w:pPr>
      <w:r>
        <w:t xml:space="preserve">Mixed findings about </w:t>
      </w:r>
      <w:r w:rsidRPr="00E829C8">
        <w:t>polycyclic aromatic hydrocarbons</w:t>
      </w:r>
      <w:r>
        <w:t xml:space="preserve"> (PAHs)</w:t>
      </w:r>
      <w:r w:rsidR="00CF1AE9">
        <w:t>.</w:t>
      </w:r>
    </w:p>
    <w:p w14:paraId="7EC75F83" w14:textId="4ACCDC3B" w:rsidR="00CF1AE9" w:rsidRPr="00BD542A" w:rsidRDefault="00A75DCF" w:rsidP="009912C5">
      <w:pPr>
        <w:pStyle w:val="ListParagraph"/>
        <w:numPr>
          <w:ilvl w:val="1"/>
          <w:numId w:val="7"/>
        </w:numPr>
        <w:rPr>
          <w:b/>
          <w:bCs/>
        </w:rPr>
      </w:pPr>
      <w:r>
        <w:t xml:space="preserve">Health impacts </w:t>
      </w:r>
      <w:r w:rsidR="003E1B5C">
        <w:t xml:space="preserve">are </w:t>
      </w:r>
      <w:r w:rsidR="000641FF">
        <w:t xml:space="preserve">typically </w:t>
      </w:r>
      <w:r w:rsidR="00521DD2">
        <w:t xml:space="preserve">more of a concern with </w:t>
      </w:r>
      <w:r>
        <w:t>biofuel blends &gt;20%.</w:t>
      </w:r>
    </w:p>
    <w:p w14:paraId="40F74152" w14:textId="4A79FB1A" w:rsidR="5A8D3622" w:rsidRPr="006A4A71" w:rsidRDefault="000E43E7" w:rsidP="004355A6">
      <w:pPr>
        <w:pStyle w:val="ListParagraph"/>
        <w:numPr>
          <w:ilvl w:val="0"/>
          <w:numId w:val="7"/>
        </w:numPr>
        <w:rPr>
          <w:b/>
          <w:bCs/>
        </w:rPr>
      </w:pPr>
      <w:r>
        <w:t>Research on air quality and health impacts of hydrogen fuels is extremely limited.</w:t>
      </w:r>
    </w:p>
    <w:p w14:paraId="4103E6BE" w14:textId="0D8E711D" w:rsidR="006F2286" w:rsidRPr="006F2286" w:rsidRDefault="006F2286" w:rsidP="006A4A71">
      <w:pPr>
        <w:pStyle w:val="ListParagraph"/>
        <w:numPr>
          <w:ilvl w:val="1"/>
          <w:numId w:val="7"/>
        </w:numPr>
      </w:pPr>
      <w:r w:rsidRPr="006F2286">
        <w:t>Combus</w:t>
      </w:r>
      <w:r>
        <w:t xml:space="preserve">tion of hydrogen alone or hydrogen blended into natural gas </w:t>
      </w:r>
      <w:r w:rsidR="008908FF">
        <w:t>generates more nitrogen oxide emissions than natural gas alone.</w:t>
      </w:r>
    </w:p>
    <w:p w14:paraId="58F7BC52" w14:textId="7A08001B" w:rsidR="006A4A71" w:rsidRPr="00E60784" w:rsidRDefault="006F2286" w:rsidP="006A4A71">
      <w:pPr>
        <w:pStyle w:val="ListParagraph"/>
        <w:numPr>
          <w:ilvl w:val="1"/>
          <w:numId w:val="7"/>
        </w:numPr>
        <w:rPr>
          <w:b/>
          <w:bCs/>
        </w:rPr>
      </w:pPr>
      <w:r>
        <w:t xml:space="preserve">Other </w:t>
      </w:r>
      <w:r w:rsidR="009463C0">
        <w:t>concerns seem to be related to the method of production</w:t>
      </w:r>
      <w:r w:rsidR="00513E77">
        <w:t xml:space="preserve">, with harmful health effects associated with </w:t>
      </w:r>
      <w:r w:rsidR="00156E2E">
        <w:t>fossil-fueled production methods.</w:t>
      </w:r>
    </w:p>
    <w:p w14:paraId="4416A4FF" w14:textId="5EFCF9E0" w:rsidR="00E60784" w:rsidRPr="00C20CE2" w:rsidRDefault="00E60784" w:rsidP="00E60784">
      <w:pPr>
        <w:pStyle w:val="ListParagraph"/>
        <w:numPr>
          <w:ilvl w:val="0"/>
          <w:numId w:val="7"/>
        </w:numPr>
        <w:rPr>
          <w:b/>
          <w:bCs/>
        </w:rPr>
      </w:pPr>
      <w:r>
        <w:t xml:space="preserve">If </w:t>
      </w:r>
      <w:r w:rsidR="006C45C2">
        <w:t xml:space="preserve">possible, </w:t>
      </w:r>
      <w:r>
        <w:t xml:space="preserve">outside expertise </w:t>
      </w:r>
      <w:r w:rsidR="00FA665A">
        <w:t xml:space="preserve">could </w:t>
      </w:r>
      <w:r w:rsidR="00B10789">
        <w:t xml:space="preserve">help </w:t>
      </w:r>
      <w:r w:rsidR="00E26326">
        <w:t>clarif</w:t>
      </w:r>
      <w:r w:rsidR="00B10789">
        <w:t xml:space="preserve">y </w:t>
      </w:r>
      <w:r w:rsidR="0065381A">
        <w:t xml:space="preserve">health </w:t>
      </w:r>
      <w:r w:rsidR="00B10789">
        <w:t>concerns</w:t>
      </w:r>
      <w:r w:rsidR="00E26326">
        <w:t xml:space="preserve"> </w:t>
      </w:r>
      <w:r w:rsidR="00B10789">
        <w:t>related to biofuels</w:t>
      </w:r>
      <w:r w:rsidR="0065381A">
        <w:t xml:space="preserve"> and hydrogen</w:t>
      </w:r>
      <w:r>
        <w:t>.</w:t>
      </w:r>
    </w:p>
    <w:p w14:paraId="3E9DF3ED" w14:textId="27809CCB" w:rsidR="00CB6B81" w:rsidRDefault="00CB6B81" w:rsidP="5A8D3622">
      <w:pPr>
        <w:rPr>
          <w:b/>
          <w:bCs/>
        </w:rPr>
      </w:pPr>
      <w:r w:rsidRPr="00CB6B81">
        <w:rPr>
          <w:b/>
          <w:bCs/>
        </w:rPr>
        <w:t>Other considerations</w:t>
      </w:r>
    </w:p>
    <w:p w14:paraId="20261109" w14:textId="1570D53D" w:rsidR="00782CC6" w:rsidRDefault="00782CC6" w:rsidP="00CB6B81">
      <w:pPr>
        <w:pStyle w:val="ListParagraph"/>
        <w:numPr>
          <w:ilvl w:val="0"/>
          <w:numId w:val="5"/>
        </w:numPr>
      </w:pPr>
      <w:r>
        <w:t>Equity considerations</w:t>
      </w:r>
      <w:r w:rsidR="006D4134">
        <w:t>:</w:t>
      </w:r>
      <w:r>
        <w:t xml:space="preserve"> Ensuring equitable access to health benefits and </w:t>
      </w:r>
      <w:r w:rsidR="00406645">
        <w:t>protection from health harms</w:t>
      </w:r>
      <w:r w:rsidR="003B33D7">
        <w:t>.</w:t>
      </w:r>
    </w:p>
    <w:p w14:paraId="537F2476" w14:textId="24B136FD" w:rsidR="00CB6B81" w:rsidRDefault="00CB6B81" w:rsidP="00CB6B81">
      <w:pPr>
        <w:pStyle w:val="ListParagraph"/>
        <w:numPr>
          <w:ilvl w:val="0"/>
          <w:numId w:val="5"/>
        </w:numPr>
      </w:pPr>
      <w:r>
        <w:t>Lifecycle impacts</w:t>
      </w:r>
      <w:r w:rsidR="006D4134">
        <w:t>:</w:t>
      </w:r>
      <w:r>
        <w:t xml:space="preserve"> Extraction, </w:t>
      </w:r>
      <w:r w:rsidR="003E6C39">
        <w:t xml:space="preserve">production, </w:t>
      </w:r>
      <w:r>
        <w:t>transportation, etc.</w:t>
      </w:r>
      <w:r w:rsidR="003E6C39">
        <w:t xml:space="preserve"> impacts on </w:t>
      </w:r>
      <w:r w:rsidR="00990E5E">
        <w:t>emissions, environmental health</w:t>
      </w:r>
      <w:r w:rsidR="00E10BC8">
        <w:t xml:space="preserve">; </w:t>
      </w:r>
      <w:r w:rsidR="003B33D7">
        <w:t>impacts related with upstream electricity generation.</w:t>
      </w:r>
    </w:p>
    <w:p w14:paraId="38548684" w14:textId="3D9759BB" w:rsidR="00084AE0" w:rsidRDefault="00525CFA" w:rsidP="00CB6B81">
      <w:pPr>
        <w:pStyle w:val="ListParagraph"/>
        <w:numPr>
          <w:ilvl w:val="0"/>
          <w:numId w:val="5"/>
        </w:numPr>
      </w:pPr>
      <w:r>
        <w:t>F</w:t>
      </w:r>
      <w:r w:rsidR="007F0D0D">
        <w:t>uel/technology used for backup power</w:t>
      </w:r>
      <w:r w:rsidR="006D4134">
        <w:t>:</w:t>
      </w:r>
      <w:r w:rsidR="003B33D7">
        <w:t xml:space="preserve"> For example, battery backup versus fossil-fueled generator.</w:t>
      </w:r>
    </w:p>
    <w:p w14:paraId="546CFD3C" w14:textId="540399B7" w:rsidR="003B33D7" w:rsidRDefault="003B33D7" w:rsidP="003B33D7">
      <w:pPr>
        <w:pStyle w:val="ListParagraph"/>
        <w:numPr>
          <w:ilvl w:val="1"/>
          <w:numId w:val="5"/>
        </w:numPr>
      </w:pPr>
      <w:r w:rsidRPr="005A0213">
        <w:t xml:space="preserve">Accidental CO poisoning has caused about 50 ED visits / year and 1-2 deaths / year in Vermont over the past 10 </w:t>
      </w:r>
      <w:r w:rsidRPr="005A0213">
        <w:t>years. Common causes of accidental CO poisoning include improper generator use or the malfunction or improper use of heating equipment, cooking equipment, or other combustion-fueled appliances.</w:t>
      </w:r>
    </w:p>
    <w:sectPr w:rsidR="003B33D7">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A39F9" w14:textId="77777777" w:rsidR="0082758B" w:rsidRDefault="0082758B" w:rsidP="000545C9">
      <w:pPr>
        <w:spacing w:after="0" w:line="240" w:lineRule="auto"/>
      </w:pPr>
      <w:r>
        <w:separator/>
      </w:r>
    </w:p>
  </w:endnote>
  <w:endnote w:type="continuationSeparator" w:id="0">
    <w:p w14:paraId="664C7552" w14:textId="77777777" w:rsidR="0082758B" w:rsidRDefault="0082758B" w:rsidP="000545C9">
      <w:pPr>
        <w:spacing w:after="0" w:line="240" w:lineRule="auto"/>
      </w:pPr>
      <w:r>
        <w:continuationSeparator/>
      </w:r>
    </w:p>
  </w:endnote>
  <w:endnote w:type="continuationNotice" w:id="1">
    <w:p w14:paraId="41DB1861" w14:textId="77777777" w:rsidR="0082758B" w:rsidRDefault="008275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580325"/>
      <w:docPartObj>
        <w:docPartGallery w:val="Page Numbers (Bottom of Page)"/>
        <w:docPartUnique/>
      </w:docPartObj>
    </w:sdtPr>
    <w:sdtEndPr>
      <w:rPr>
        <w:noProof/>
      </w:rPr>
    </w:sdtEndPr>
    <w:sdtContent>
      <w:p w14:paraId="64132F68" w14:textId="232509D2" w:rsidR="003420A6" w:rsidRDefault="003420A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523D869" w14:textId="77777777" w:rsidR="003420A6" w:rsidRDefault="003420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B0A77" w14:textId="77777777" w:rsidR="0082758B" w:rsidRDefault="0082758B" w:rsidP="000545C9">
      <w:pPr>
        <w:spacing w:after="0" w:line="240" w:lineRule="auto"/>
      </w:pPr>
      <w:r>
        <w:separator/>
      </w:r>
    </w:p>
  </w:footnote>
  <w:footnote w:type="continuationSeparator" w:id="0">
    <w:p w14:paraId="5B72CF11" w14:textId="77777777" w:rsidR="0082758B" w:rsidRDefault="0082758B" w:rsidP="000545C9">
      <w:pPr>
        <w:spacing w:after="0" w:line="240" w:lineRule="auto"/>
      </w:pPr>
      <w:r>
        <w:continuationSeparator/>
      </w:r>
    </w:p>
  </w:footnote>
  <w:footnote w:type="continuationNotice" w:id="1">
    <w:p w14:paraId="3D5E967C" w14:textId="77777777" w:rsidR="0082758B" w:rsidRDefault="008275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2E7C1" w14:textId="77777777" w:rsidR="00E9763E" w:rsidRPr="00E9763E" w:rsidRDefault="00E9763E" w:rsidP="00E9763E">
    <w:pPr>
      <w:spacing w:after="0"/>
      <w:rPr>
        <w:sz w:val="20"/>
        <w:szCs w:val="20"/>
      </w:rPr>
    </w:pPr>
    <w:r w:rsidRPr="00E9763E">
      <w:rPr>
        <w:sz w:val="20"/>
        <w:szCs w:val="20"/>
      </w:rPr>
      <w:t>Health Impacts and Considerations for the Clean Heat Standard</w:t>
    </w:r>
  </w:p>
  <w:p w14:paraId="56C1F49E" w14:textId="67BCFEF4" w:rsidR="000545C9" w:rsidRDefault="000545C9" w:rsidP="00A62ABC">
    <w:r w:rsidRPr="00E9763E">
      <w:rPr>
        <w:sz w:val="20"/>
        <w:szCs w:val="20"/>
      </w:rPr>
      <w:t>DRAFT 10/</w:t>
    </w:r>
    <w:r w:rsidR="00951705" w:rsidRPr="00E9763E">
      <w:rPr>
        <w:sz w:val="20"/>
        <w:szCs w:val="20"/>
      </w:rPr>
      <w:t>1</w:t>
    </w:r>
    <w:r w:rsidR="001D39A4" w:rsidRPr="00E9763E">
      <w:rPr>
        <w:sz w:val="20"/>
        <w:szCs w:val="20"/>
      </w:rPr>
      <w:t>5</w:t>
    </w:r>
    <w:r w:rsidRPr="00E9763E">
      <w:rPr>
        <w:sz w:val="20"/>
        <w:szCs w:val="20"/>
      </w:rPr>
      <w:t>/24</w:t>
    </w:r>
    <w:r w:rsidR="001D39A4" w:rsidRPr="00E9763E">
      <w:rPr>
        <w:sz w:val="20"/>
        <w:szCs w:val="20"/>
      </w:rPr>
      <w:t xml:space="preserve"> </w:t>
    </w:r>
    <w:proofErr w:type="gramStart"/>
    <w:r w:rsidR="001D39A4" w:rsidRPr="00E9763E">
      <w:rPr>
        <w:sz w:val="20"/>
        <w:szCs w:val="20"/>
      </w:rPr>
      <w:t>-  Prepared</w:t>
    </w:r>
    <w:proofErr w:type="gramEnd"/>
    <w:r w:rsidR="001D39A4" w:rsidRPr="00E9763E">
      <w:rPr>
        <w:sz w:val="20"/>
        <w:szCs w:val="20"/>
      </w:rPr>
      <w:t xml:space="preserve"> by Jared Ulmer and Emily Levin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97845"/>
    <w:multiLevelType w:val="hybridMultilevel"/>
    <w:tmpl w:val="604CA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808B4"/>
    <w:multiLevelType w:val="hybridMultilevel"/>
    <w:tmpl w:val="24A65A04"/>
    <w:lvl w:ilvl="0" w:tplc="E7FAE234">
      <w:start w:val="1"/>
      <w:numFmt w:val="bullet"/>
      <w:lvlText w:val=""/>
      <w:lvlJc w:val="left"/>
      <w:pPr>
        <w:ind w:left="720" w:hanging="360"/>
      </w:pPr>
      <w:rPr>
        <w:rFonts w:ascii="Symbol" w:hAnsi="Symbol" w:hint="default"/>
      </w:rPr>
    </w:lvl>
    <w:lvl w:ilvl="1" w:tplc="72B27346">
      <w:start w:val="1"/>
      <w:numFmt w:val="bullet"/>
      <w:lvlText w:val="o"/>
      <w:lvlJc w:val="left"/>
      <w:pPr>
        <w:ind w:left="1440" w:hanging="360"/>
      </w:pPr>
      <w:rPr>
        <w:rFonts w:ascii="Courier New" w:hAnsi="Courier New" w:hint="default"/>
      </w:rPr>
    </w:lvl>
    <w:lvl w:ilvl="2" w:tplc="D862AFD6">
      <w:start w:val="1"/>
      <w:numFmt w:val="bullet"/>
      <w:lvlText w:val=""/>
      <w:lvlJc w:val="left"/>
      <w:pPr>
        <w:ind w:left="2160" w:hanging="360"/>
      </w:pPr>
      <w:rPr>
        <w:rFonts w:ascii="Wingdings" w:hAnsi="Wingdings" w:hint="default"/>
      </w:rPr>
    </w:lvl>
    <w:lvl w:ilvl="3" w:tplc="2836E7AA">
      <w:start w:val="1"/>
      <w:numFmt w:val="bullet"/>
      <w:lvlText w:val=""/>
      <w:lvlJc w:val="left"/>
      <w:pPr>
        <w:ind w:left="2880" w:hanging="360"/>
      </w:pPr>
      <w:rPr>
        <w:rFonts w:ascii="Symbol" w:hAnsi="Symbol" w:hint="default"/>
      </w:rPr>
    </w:lvl>
    <w:lvl w:ilvl="4" w:tplc="E202FEB6">
      <w:start w:val="1"/>
      <w:numFmt w:val="bullet"/>
      <w:lvlText w:val="o"/>
      <w:lvlJc w:val="left"/>
      <w:pPr>
        <w:ind w:left="3600" w:hanging="360"/>
      </w:pPr>
      <w:rPr>
        <w:rFonts w:ascii="Courier New" w:hAnsi="Courier New" w:hint="default"/>
      </w:rPr>
    </w:lvl>
    <w:lvl w:ilvl="5" w:tplc="4A24CE82">
      <w:start w:val="1"/>
      <w:numFmt w:val="bullet"/>
      <w:lvlText w:val=""/>
      <w:lvlJc w:val="left"/>
      <w:pPr>
        <w:ind w:left="4320" w:hanging="360"/>
      </w:pPr>
      <w:rPr>
        <w:rFonts w:ascii="Wingdings" w:hAnsi="Wingdings" w:hint="default"/>
      </w:rPr>
    </w:lvl>
    <w:lvl w:ilvl="6" w:tplc="CDAE08D0">
      <w:start w:val="1"/>
      <w:numFmt w:val="bullet"/>
      <w:lvlText w:val=""/>
      <w:lvlJc w:val="left"/>
      <w:pPr>
        <w:ind w:left="5040" w:hanging="360"/>
      </w:pPr>
      <w:rPr>
        <w:rFonts w:ascii="Symbol" w:hAnsi="Symbol" w:hint="default"/>
      </w:rPr>
    </w:lvl>
    <w:lvl w:ilvl="7" w:tplc="74F0783A">
      <w:start w:val="1"/>
      <w:numFmt w:val="bullet"/>
      <w:lvlText w:val="o"/>
      <w:lvlJc w:val="left"/>
      <w:pPr>
        <w:ind w:left="5760" w:hanging="360"/>
      </w:pPr>
      <w:rPr>
        <w:rFonts w:ascii="Courier New" w:hAnsi="Courier New" w:hint="default"/>
      </w:rPr>
    </w:lvl>
    <w:lvl w:ilvl="8" w:tplc="E4BA33E8">
      <w:start w:val="1"/>
      <w:numFmt w:val="bullet"/>
      <w:lvlText w:val=""/>
      <w:lvlJc w:val="left"/>
      <w:pPr>
        <w:ind w:left="6480" w:hanging="360"/>
      </w:pPr>
      <w:rPr>
        <w:rFonts w:ascii="Wingdings" w:hAnsi="Wingdings" w:hint="default"/>
      </w:rPr>
    </w:lvl>
  </w:abstractNum>
  <w:abstractNum w:abstractNumId="2" w15:restartNumberingAfterBreak="0">
    <w:nsid w:val="0C648F6A"/>
    <w:multiLevelType w:val="hybridMultilevel"/>
    <w:tmpl w:val="C8FE661E"/>
    <w:lvl w:ilvl="0" w:tplc="22D24BAC">
      <w:start w:val="1"/>
      <w:numFmt w:val="bullet"/>
      <w:lvlText w:val=""/>
      <w:lvlJc w:val="left"/>
      <w:pPr>
        <w:ind w:left="720" w:hanging="360"/>
      </w:pPr>
      <w:rPr>
        <w:rFonts w:ascii="Symbol" w:hAnsi="Symbol" w:hint="default"/>
      </w:rPr>
    </w:lvl>
    <w:lvl w:ilvl="1" w:tplc="932C77E4">
      <w:start w:val="1"/>
      <w:numFmt w:val="bullet"/>
      <w:lvlText w:val="o"/>
      <w:lvlJc w:val="left"/>
      <w:pPr>
        <w:ind w:left="1440" w:hanging="360"/>
      </w:pPr>
      <w:rPr>
        <w:rFonts w:ascii="Courier New" w:hAnsi="Courier New" w:hint="default"/>
      </w:rPr>
    </w:lvl>
    <w:lvl w:ilvl="2" w:tplc="F06E2CF0">
      <w:start w:val="1"/>
      <w:numFmt w:val="bullet"/>
      <w:lvlText w:val=""/>
      <w:lvlJc w:val="left"/>
      <w:pPr>
        <w:ind w:left="2160" w:hanging="360"/>
      </w:pPr>
      <w:rPr>
        <w:rFonts w:ascii="Wingdings" w:hAnsi="Wingdings" w:hint="default"/>
      </w:rPr>
    </w:lvl>
    <w:lvl w:ilvl="3" w:tplc="4AE6D612">
      <w:start w:val="1"/>
      <w:numFmt w:val="bullet"/>
      <w:lvlText w:val=""/>
      <w:lvlJc w:val="left"/>
      <w:pPr>
        <w:ind w:left="2880" w:hanging="360"/>
      </w:pPr>
      <w:rPr>
        <w:rFonts w:ascii="Symbol" w:hAnsi="Symbol" w:hint="default"/>
      </w:rPr>
    </w:lvl>
    <w:lvl w:ilvl="4" w:tplc="0A244524">
      <w:start w:val="1"/>
      <w:numFmt w:val="bullet"/>
      <w:lvlText w:val="o"/>
      <w:lvlJc w:val="left"/>
      <w:pPr>
        <w:ind w:left="3600" w:hanging="360"/>
      </w:pPr>
      <w:rPr>
        <w:rFonts w:ascii="Courier New" w:hAnsi="Courier New" w:hint="default"/>
      </w:rPr>
    </w:lvl>
    <w:lvl w:ilvl="5" w:tplc="CB7499FC">
      <w:start w:val="1"/>
      <w:numFmt w:val="bullet"/>
      <w:lvlText w:val=""/>
      <w:lvlJc w:val="left"/>
      <w:pPr>
        <w:ind w:left="4320" w:hanging="360"/>
      </w:pPr>
      <w:rPr>
        <w:rFonts w:ascii="Wingdings" w:hAnsi="Wingdings" w:hint="default"/>
      </w:rPr>
    </w:lvl>
    <w:lvl w:ilvl="6" w:tplc="F474BA68">
      <w:start w:val="1"/>
      <w:numFmt w:val="bullet"/>
      <w:lvlText w:val=""/>
      <w:lvlJc w:val="left"/>
      <w:pPr>
        <w:ind w:left="5040" w:hanging="360"/>
      </w:pPr>
      <w:rPr>
        <w:rFonts w:ascii="Symbol" w:hAnsi="Symbol" w:hint="default"/>
      </w:rPr>
    </w:lvl>
    <w:lvl w:ilvl="7" w:tplc="CD7A57A6">
      <w:start w:val="1"/>
      <w:numFmt w:val="bullet"/>
      <w:lvlText w:val="o"/>
      <w:lvlJc w:val="left"/>
      <w:pPr>
        <w:ind w:left="5760" w:hanging="360"/>
      </w:pPr>
      <w:rPr>
        <w:rFonts w:ascii="Courier New" w:hAnsi="Courier New" w:hint="default"/>
      </w:rPr>
    </w:lvl>
    <w:lvl w:ilvl="8" w:tplc="0458DCF8">
      <w:start w:val="1"/>
      <w:numFmt w:val="bullet"/>
      <w:lvlText w:val=""/>
      <w:lvlJc w:val="left"/>
      <w:pPr>
        <w:ind w:left="6480" w:hanging="360"/>
      </w:pPr>
      <w:rPr>
        <w:rFonts w:ascii="Wingdings" w:hAnsi="Wingdings" w:hint="default"/>
      </w:rPr>
    </w:lvl>
  </w:abstractNum>
  <w:abstractNum w:abstractNumId="3" w15:restartNumberingAfterBreak="0">
    <w:nsid w:val="10A61BF5"/>
    <w:multiLevelType w:val="hybridMultilevel"/>
    <w:tmpl w:val="2A9E6900"/>
    <w:lvl w:ilvl="0" w:tplc="82BE5258">
      <w:start w:val="1"/>
      <w:numFmt w:val="bullet"/>
      <w:lvlText w:val=""/>
      <w:lvlJc w:val="left"/>
      <w:pPr>
        <w:ind w:left="720" w:hanging="360"/>
      </w:pPr>
      <w:rPr>
        <w:rFonts w:ascii="Symbol" w:hAnsi="Symbol" w:hint="default"/>
      </w:rPr>
    </w:lvl>
    <w:lvl w:ilvl="1" w:tplc="50568406">
      <w:start w:val="1"/>
      <w:numFmt w:val="bullet"/>
      <w:lvlText w:val="o"/>
      <w:lvlJc w:val="left"/>
      <w:pPr>
        <w:ind w:left="1440" w:hanging="360"/>
      </w:pPr>
      <w:rPr>
        <w:rFonts w:ascii="Courier New" w:hAnsi="Courier New" w:hint="default"/>
      </w:rPr>
    </w:lvl>
    <w:lvl w:ilvl="2" w:tplc="50822452">
      <w:start w:val="1"/>
      <w:numFmt w:val="bullet"/>
      <w:lvlText w:val=""/>
      <w:lvlJc w:val="left"/>
      <w:pPr>
        <w:ind w:left="2160" w:hanging="360"/>
      </w:pPr>
      <w:rPr>
        <w:rFonts w:ascii="Wingdings" w:hAnsi="Wingdings" w:hint="default"/>
      </w:rPr>
    </w:lvl>
    <w:lvl w:ilvl="3" w:tplc="AF0035C0">
      <w:start w:val="1"/>
      <w:numFmt w:val="bullet"/>
      <w:lvlText w:val=""/>
      <w:lvlJc w:val="left"/>
      <w:pPr>
        <w:ind w:left="2880" w:hanging="360"/>
      </w:pPr>
      <w:rPr>
        <w:rFonts w:ascii="Symbol" w:hAnsi="Symbol" w:hint="default"/>
      </w:rPr>
    </w:lvl>
    <w:lvl w:ilvl="4" w:tplc="9078AD08">
      <w:start w:val="1"/>
      <w:numFmt w:val="bullet"/>
      <w:lvlText w:val="o"/>
      <w:lvlJc w:val="left"/>
      <w:pPr>
        <w:ind w:left="3600" w:hanging="360"/>
      </w:pPr>
      <w:rPr>
        <w:rFonts w:ascii="Courier New" w:hAnsi="Courier New" w:hint="default"/>
      </w:rPr>
    </w:lvl>
    <w:lvl w:ilvl="5" w:tplc="9CEA6404">
      <w:start w:val="1"/>
      <w:numFmt w:val="bullet"/>
      <w:lvlText w:val=""/>
      <w:lvlJc w:val="left"/>
      <w:pPr>
        <w:ind w:left="4320" w:hanging="360"/>
      </w:pPr>
      <w:rPr>
        <w:rFonts w:ascii="Wingdings" w:hAnsi="Wingdings" w:hint="default"/>
      </w:rPr>
    </w:lvl>
    <w:lvl w:ilvl="6" w:tplc="7188CCBC">
      <w:start w:val="1"/>
      <w:numFmt w:val="bullet"/>
      <w:lvlText w:val=""/>
      <w:lvlJc w:val="left"/>
      <w:pPr>
        <w:ind w:left="5040" w:hanging="360"/>
      </w:pPr>
      <w:rPr>
        <w:rFonts w:ascii="Symbol" w:hAnsi="Symbol" w:hint="default"/>
      </w:rPr>
    </w:lvl>
    <w:lvl w:ilvl="7" w:tplc="C540C760">
      <w:start w:val="1"/>
      <w:numFmt w:val="bullet"/>
      <w:lvlText w:val="o"/>
      <w:lvlJc w:val="left"/>
      <w:pPr>
        <w:ind w:left="5760" w:hanging="360"/>
      </w:pPr>
      <w:rPr>
        <w:rFonts w:ascii="Courier New" w:hAnsi="Courier New" w:hint="default"/>
      </w:rPr>
    </w:lvl>
    <w:lvl w:ilvl="8" w:tplc="49861E4C">
      <w:start w:val="1"/>
      <w:numFmt w:val="bullet"/>
      <w:lvlText w:val=""/>
      <w:lvlJc w:val="left"/>
      <w:pPr>
        <w:ind w:left="6480" w:hanging="360"/>
      </w:pPr>
      <w:rPr>
        <w:rFonts w:ascii="Wingdings" w:hAnsi="Wingdings" w:hint="default"/>
      </w:rPr>
    </w:lvl>
  </w:abstractNum>
  <w:abstractNum w:abstractNumId="4" w15:restartNumberingAfterBreak="0">
    <w:nsid w:val="1C6F2770"/>
    <w:multiLevelType w:val="hybridMultilevel"/>
    <w:tmpl w:val="3EE0A990"/>
    <w:lvl w:ilvl="0" w:tplc="75B40E74">
      <w:start w:val="1"/>
      <w:numFmt w:val="bullet"/>
      <w:lvlText w:val=""/>
      <w:lvlJc w:val="left"/>
      <w:pPr>
        <w:ind w:left="720" w:hanging="360"/>
      </w:pPr>
      <w:rPr>
        <w:rFonts w:ascii="Symbol" w:hAnsi="Symbol" w:hint="default"/>
      </w:rPr>
    </w:lvl>
    <w:lvl w:ilvl="1" w:tplc="EF0097D0">
      <w:start w:val="1"/>
      <w:numFmt w:val="bullet"/>
      <w:lvlText w:val="o"/>
      <w:lvlJc w:val="left"/>
      <w:pPr>
        <w:ind w:left="1440" w:hanging="360"/>
      </w:pPr>
      <w:rPr>
        <w:rFonts w:ascii="Courier New" w:hAnsi="Courier New" w:hint="default"/>
      </w:rPr>
    </w:lvl>
    <w:lvl w:ilvl="2" w:tplc="AFE8EE5C">
      <w:start w:val="1"/>
      <w:numFmt w:val="bullet"/>
      <w:lvlText w:val=""/>
      <w:lvlJc w:val="left"/>
      <w:pPr>
        <w:ind w:left="2160" w:hanging="360"/>
      </w:pPr>
      <w:rPr>
        <w:rFonts w:ascii="Wingdings" w:hAnsi="Wingdings" w:hint="default"/>
      </w:rPr>
    </w:lvl>
    <w:lvl w:ilvl="3" w:tplc="FDA2F768">
      <w:start w:val="1"/>
      <w:numFmt w:val="bullet"/>
      <w:lvlText w:val=""/>
      <w:lvlJc w:val="left"/>
      <w:pPr>
        <w:ind w:left="2880" w:hanging="360"/>
      </w:pPr>
      <w:rPr>
        <w:rFonts w:ascii="Symbol" w:hAnsi="Symbol" w:hint="default"/>
      </w:rPr>
    </w:lvl>
    <w:lvl w:ilvl="4" w:tplc="EAA8DB1A">
      <w:start w:val="1"/>
      <w:numFmt w:val="bullet"/>
      <w:lvlText w:val="o"/>
      <w:lvlJc w:val="left"/>
      <w:pPr>
        <w:ind w:left="3600" w:hanging="360"/>
      </w:pPr>
      <w:rPr>
        <w:rFonts w:ascii="Courier New" w:hAnsi="Courier New" w:hint="default"/>
      </w:rPr>
    </w:lvl>
    <w:lvl w:ilvl="5" w:tplc="1F66D1E4">
      <w:start w:val="1"/>
      <w:numFmt w:val="bullet"/>
      <w:lvlText w:val=""/>
      <w:lvlJc w:val="left"/>
      <w:pPr>
        <w:ind w:left="4320" w:hanging="360"/>
      </w:pPr>
      <w:rPr>
        <w:rFonts w:ascii="Wingdings" w:hAnsi="Wingdings" w:hint="default"/>
      </w:rPr>
    </w:lvl>
    <w:lvl w:ilvl="6" w:tplc="D7CC3820">
      <w:start w:val="1"/>
      <w:numFmt w:val="bullet"/>
      <w:lvlText w:val=""/>
      <w:lvlJc w:val="left"/>
      <w:pPr>
        <w:ind w:left="5040" w:hanging="360"/>
      </w:pPr>
      <w:rPr>
        <w:rFonts w:ascii="Symbol" w:hAnsi="Symbol" w:hint="default"/>
      </w:rPr>
    </w:lvl>
    <w:lvl w:ilvl="7" w:tplc="7B5A8932">
      <w:start w:val="1"/>
      <w:numFmt w:val="bullet"/>
      <w:lvlText w:val="o"/>
      <w:lvlJc w:val="left"/>
      <w:pPr>
        <w:ind w:left="5760" w:hanging="360"/>
      </w:pPr>
      <w:rPr>
        <w:rFonts w:ascii="Courier New" w:hAnsi="Courier New" w:hint="default"/>
      </w:rPr>
    </w:lvl>
    <w:lvl w:ilvl="8" w:tplc="C94031CC">
      <w:start w:val="1"/>
      <w:numFmt w:val="bullet"/>
      <w:lvlText w:val=""/>
      <w:lvlJc w:val="left"/>
      <w:pPr>
        <w:ind w:left="6480" w:hanging="360"/>
      </w:pPr>
      <w:rPr>
        <w:rFonts w:ascii="Wingdings" w:hAnsi="Wingdings" w:hint="default"/>
      </w:rPr>
    </w:lvl>
  </w:abstractNum>
  <w:abstractNum w:abstractNumId="5" w15:restartNumberingAfterBreak="0">
    <w:nsid w:val="4A7C401A"/>
    <w:multiLevelType w:val="hybridMultilevel"/>
    <w:tmpl w:val="D7AC93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C3313C"/>
    <w:multiLevelType w:val="hybridMultilevel"/>
    <w:tmpl w:val="13C60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16586E"/>
    <w:multiLevelType w:val="hybridMultilevel"/>
    <w:tmpl w:val="81FE5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B14219"/>
    <w:multiLevelType w:val="hybridMultilevel"/>
    <w:tmpl w:val="EC4CC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6501B6A"/>
    <w:multiLevelType w:val="hybridMultilevel"/>
    <w:tmpl w:val="5F4090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6E61E20"/>
    <w:multiLevelType w:val="hybridMultilevel"/>
    <w:tmpl w:val="B9A8D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834A9"/>
    <w:multiLevelType w:val="hybridMultilevel"/>
    <w:tmpl w:val="EFA40C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5107296">
    <w:abstractNumId w:val="2"/>
  </w:num>
  <w:num w:numId="2" w16cid:durableId="922958101">
    <w:abstractNumId w:val="3"/>
  </w:num>
  <w:num w:numId="3" w16cid:durableId="1210344026">
    <w:abstractNumId w:val="4"/>
  </w:num>
  <w:num w:numId="4" w16cid:durableId="745801693">
    <w:abstractNumId w:val="1"/>
  </w:num>
  <w:num w:numId="5" w16cid:durableId="373193414">
    <w:abstractNumId w:val="5"/>
  </w:num>
  <w:num w:numId="6" w16cid:durableId="571086011">
    <w:abstractNumId w:val="11"/>
  </w:num>
  <w:num w:numId="7" w16cid:durableId="1078556352">
    <w:abstractNumId w:val="10"/>
  </w:num>
  <w:num w:numId="8" w16cid:durableId="999580308">
    <w:abstractNumId w:val="8"/>
  </w:num>
  <w:num w:numId="9" w16cid:durableId="20601295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1409364">
    <w:abstractNumId w:val="9"/>
  </w:num>
  <w:num w:numId="11" w16cid:durableId="819158088">
    <w:abstractNumId w:val="0"/>
  </w:num>
  <w:num w:numId="12" w16cid:durableId="1696610623">
    <w:abstractNumId w:val="7"/>
  </w:num>
  <w:num w:numId="13" w16cid:durableId="20171512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A4F72DF"/>
    <w:rsid w:val="000007C3"/>
    <w:rsid w:val="00002044"/>
    <w:rsid w:val="00016C22"/>
    <w:rsid w:val="000304A1"/>
    <w:rsid w:val="000311F3"/>
    <w:rsid w:val="00032EAD"/>
    <w:rsid w:val="00036AC4"/>
    <w:rsid w:val="00053397"/>
    <w:rsid w:val="00053CDD"/>
    <w:rsid w:val="000545C9"/>
    <w:rsid w:val="00055796"/>
    <w:rsid w:val="000641FF"/>
    <w:rsid w:val="00077D22"/>
    <w:rsid w:val="00084AE0"/>
    <w:rsid w:val="000A2D26"/>
    <w:rsid w:val="000A3413"/>
    <w:rsid w:val="000B4221"/>
    <w:rsid w:val="000B7356"/>
    <w:rsid w:val="000B7C64"/>
    <w:rsid w:val="000E0B52"/>
    <w:rsid w:val="000E43E7"/>
    <w:rsid w:val="00100CEA"/>
    <w:rsid w:val="001043F6"/>
    <w:rsid w:val="00104B16"/>
    <w:rsid w:val="001075D2"/>
    <w:rsid w:val="0011525E"/>
    <w:rsid w:val="00131044"/>
    <w:rsid w:val="00150B98"/>
    <w:rsid w:val="00151C99"/>
    <w:rsid w:val="00154843"/>
    <w:rsid w:val="00156C2D"/>
    <w:rsid w:val="00156E2E"/>
    <w:rsid w:val="00164CA5"/>
    <w:rsid w:val="00180521"/>
    <w:rsid w:val="00183E8F"/>
    <w:rsid w:val="00184651"/>
    <w:rsid w:val="00185306"/>
    <w:rsid w:val="00186109"/>
    <w:rsid w:val="00186D6D"/>
    <w:rsid w:val="00191368"/>
    <w:rsid w:val="001B4004"/>
    <w:rsid w:val="001C057B"/>
    <w:rsid w:val="001C66E1"/>
    <w:rsid w:val="001C73DA"/>
    <w:rsid w:val="001D39A4"/>
    <w:rsid w:val="00203342"/>
    <w:rsid w:val="002105E5"/>
    <w:rsid w:val="0021661D"/>
    <w:rsid w:val="00220382"/>
    <w:rsid w:val="0023127A"/>
    <w:rsid w:val="00237980"/>
    <w:rsid w:val="0026141D"/>
    <w:rsid w:val="00261E55"/>
    <w:rsid w:val="002654B2"/>
    <w:rsid w:val="00270217"/>
    <w:rsid w:val="00274CDB"/>
    <w:rsid w:val="00277C27"/>
    <w:rsid w:val="00293C49"/>
    <w:rsid w:val="002A5FFF"/>
    <w:rsid w:val="002C7BDD"/>
    <w:rsid w:val="002D3527"/>
    <w:rsid w:val="002D3D78"/>
    <w:rsid w:val="00306D01"/>
    <w:rsid w:val="00313FE6"/>
    <w:rsid w:val="003217EF"/>
    <w:rsid w:val="00321E17"/>
    <w:rsid w:val="003420A6"/>
    <w:rsid w:val="00386FFF"/>
    <w:rsid w:val="0039671F"/>
    <w:rsid w:val="003A2456"/>
    <w:rsid w:val="003B33D7"/>
    <w:rsid w:val="003B5AA8"/>
    <w:rsid w:val="003D132F"/>
    <w:rsid w:val="003E1B5C"/>
    <w:rsid w:val="003E6C39"/>
    <w:rsid w:val="00404C1D"/>
    <w:rsid w:val="0040529F"/>
    <w:rsid w:val="00406645"/>
    <w:rsid w:val="004174EA"/>
    <w:rsid w:val="00417CA5"/>
    <w:rsid w:val="004224DE"/>
    <w:rsid w:val="004355A6"/>
    <w:rsid w:val="004503B0"/>
    <w:rsid w:val="004508F2"/>
    <w:rsid w:val="004557D6"/>
    <w:rsid w:val="0045624B"/>
    <w:rsid w:val="00462D08"/>
    <w:rsid w:val="0048257F"/>
    <w:rsid w:val="00497EC3"/>
    <w:rsid w:val="004B2F08"/>
    <w:rsid w:val="004D38E8"/>
    <w:rsid w:val="004D5B3D"/>
    <w:rsid w:val="004D729D"/>
    <w:rsid w:val="004D7A28"/>
    <w:rsid w:val="004E53E9"/>
    <w:rsid w:val="004F0CC3"/>
    <w:rsid w:val="005136D7"/>
    <w:rsid w:val="00513E77"/>
    <w:rsid w:val="00521DD2"/>
    <w:rsid w:val="0052573A"/>
    <w:rsid w:val="00525CFA"/>
    <w:rsid w:val="00535E95"/>
    <w:rsid w:val="00547389"/>
    <w:rsid w:val="00564915"/>
    <w:rsid w:val="005840FE"/>
    <w:rsid w:val="0058749E"/>
    <w:rsid w:val="005929FE"/>
    <w:rsid w:val="0059534C"/>
    <w:rsid w:val="005A0213"/>
    <w:rsid w:val="005A3F25"/>
    <w:rsid w:val="005A6DF7"/>
    <w:rsid w:val="005B0899"/>
    <w:rsid w:val="005B1E03"/>
    <w:rsid w:val="005E5398"/>
    <w:rsid w:val="006158B0"/>
    <w:rsid w:val="00617A0C"/>
    <w:rsid w:val="0062104B"/>
    <w:rsid w:val="00631F9F"/>
    <w:rsid w:val="00647D02"/>
    <w:rsid w:val="006505F2"/>
    <w:rsid w:val="0065143E"/>
    <w:rsid w:val="0065381A"/>
    <w:rsid w:val="00653F9E"/>
    <w:rsid w:val="00656F9B"/>
    <w:rsid w:val="006579F7"/>
    <w:rsid w:val="0067047C"/>
    <w:rsid w:val="00672FBC"/>
    <w:rsid w:val="00683B6C"/>
    <w:rsid w:val="00690402"/>
    <w:rsid w:val="00692AA7"/>
    <w:rsid w:val="0069321C"/>
    <w:rsid w:val="006A2511"/>
    <w:rsid w:val="006A4A71"/>
    <w:rsid w:val="006A4CCC"/>
    <w:rsid w:val="006B7188"/>
    <w:rsid w:val="006B7900"/>
    <w:rsid w:val="006C45C2"/>
    <w:rsid w:val="006C70C6"/>
    <w:rsid w:val="006D03AA"/>
    <w:rsid w:val="006D4134"/>
    <w:rsid w:val="006E37E9"/>
    <w:rsid w:val="006F2286"/>
    <w:rsid w:val="007014C6"/>
    <w:rsid w:val="0071115C"/>
    <w:rsid w:val="007121CB"/>
    <w:rsid w:val="007223A4"/>
    <w:rsid w:val="0072745B"/>
    <w:rsid w:val="00734E4B"/>
    <w:rsid w:val="007417C7"/>
    <w:rsid w:val="00741969"/>
    <w:rsid w:val="00744F71"/>
    <w:rsid w:val="00763E8E"/>
    <w:rsid w:val="007668DD"/>
    <w:rsid w:val="00774C43"/>
    <w:rsid w:val="00782CC6"/>
    <w:rsid w:val="007A34A8"/>
    <w:rsid w:val="007B7E18"/>
    <w:rsid w:val="007C597B"/>
    <w:rsid w:val="007C70CB"/>
    <w:rsid w:val="007C7B44"/>
    <w:rsid w:val="007D27F8"/>
    <w:rsid w:val="007D5A83"/>
    <w:rsid w:val="007F0D0D"/>
    <w:rsid w:val="007F5901"/>
    <w:rsid w:val="007F6249"/>
    <w:rsid w:val="0080700F"/>
    <w:rsid w:val="00823A75"/>
    <w:rsid w:val="0082758B"/>
    <w:rsid w:val="0084044F"/>
    <w:rsid w:val="008660DA"/>
    <w:rsid w:val="00873F0D"/>
    <w:rsid w:val="008908FF"/>
    <w:rsid w:val="008A4941"/>
    <w:rsid w:val="008A4BDF"/>
    <w:rsid w:val="008A50B8"/>
    <w:rsid w:val="008C05D9"/>
    <w:rsid w:val="008C52FB"/>
    <w:rsid w:val="008E1DD0"/>
    <w:rsid w:val="008E4CFB"/>
    <w:rsid w:val="008F248E"/>
    <w:rsid w:val="00911542"/>
    <w:rsid w:val="00911EC9"/>
    <w:rsid w:val="00917B4C"/>
    <w:rsid w:val="00922F2A"/>
    <w:rsid w:val="00926F5D"/>
    <w:rsid w:val="0094504B"/>
    <w:rsid w:val="009463C0"/>
    <w:rsid w:val="009503D2"/>
    <w:rsid w:val="00951705"/>
    <w:rsid w:val="0095527C"/>
    <w:rsid w:val="009632F3"/>
    <w:rsid w:val="00972D1A"/>
    <w:rsid w:val="00980C30"/>
    <w:rsid w:val="00990E5E"/>
    <w:rsid w:val="009912C5"/>
    <w:rsid w:val="00991770"/>
    <w:rsid w:val="0099214C"/>
    <w:rsid w:val="009A19DE"/>
    <w:rsid w:val="009E53A3"/>
    <w:rsid w:val="009F3589"/>
    <w:rsid w:val="009F3D2B"/>
    <w:rsid w:val="00A0669D"/>
    <w:rsid w:val="00A233C2"/>
    <w:rsid w:val="00A456FC"/>
    <w:rsid w:val="00A46C49"/>
    <w:rsid w:val="00A54706"/>
    <w:rsid w:val="00A62ABC"/>
    <w:rsid w:val="00A661E1"/>
    <w:rsid w:val="00A7234B"/>
    <w:rsid w:val="00A75DCF"/>
    <w:rsid w:val="00A843C5"/>
    <w:rsid w:val="00A86C88"/>
    <w:rsid w:val="00AB6C27"/>
    <w:rsid w:val="00AC24C9"/>
    <w:rsid w:val="00AC3682"/>
    <w:rsid w:val="00AC5FE2"/>
    <w:rsid w:val="00AD48AB"/>
    <w:rsid w:val="00AD6774"/>
    <w:rsid w:val="00AE1983"/>
    <w:rsid w:val="00AE3472"/>
    <w:rsid w:val="00B072BD"/>
    <w:rsid w:val="00B078AD"/>
    <w:rsid w:val="00B10789"/>
    <w:rsid w:val="00B1648A"/>
    <w:rsid w:val="00B26200"/>
    <w:rsid w:val="00B43717"/>
    <w:rsid w:val="00B43CFA"/>
    <w:rsid w:val="00B476B6"/>
    <w:rsid w:val="00B72210"/>
    <w:rsid w:val="00B77D29"/>
    <w:rsid w:val="00B85032"/>
    <w:rsid w:val="00B86700"/>
    <w:rsid w:val="00B87A85"/>
    <w:rsid w:val="00BA14CC"/>
    <w:rsid w:val="00BA7B45"/>
    <w:rsid w:val="00BB3C74"/>
    <w:rsid w:val="00BC0D18"/>
    <w:rsid w:val="00BE12CC"/>
    <w:rsid w:val="00BF3DA2"/>
    <w:rsid w:val="00C07452"/>
    <w:rsid w:val="00C11900"/>
    <w:rsid w:val="00C1727F"/>
    <w:rsid w:val="00C20CE2"/>
    <w:rsid w:val="00C24C2C"/>
    <w:rsid w:val="00C2622F"/>
    <w:rsid w:val="00C464C7"/>
    <w:rsid w:val="00C502E5"/>
    <w:rsid w:val="00C70FCA"/>
    <w:rsid w:val="00C82EE5"/>
    <w:rsid w:val="00C85B97"/>
    <w:rsid w:val="00C8768E"/>
    <w:rsid w:val="00C94CB3"/>
    <w:rsid w:val="00C96E06"/>
    <w:rsid w:val="00CB58FD"/>
    <w:rsid w:val="00CB6B81"/>
    <w:rsid w:val="00CC4876"/>
    <w:rsid w:val="00CD64A9"/>
    <w:rsid w:val="00CF1AE9"/>
    <w:rsid w:val="00CF5820"/>
    <w:rsid w:val="00CF5919"/>
    <w:rsid w:val="00D138FC"/>
    <w:rsid w:val="00D15D09"/>
    <w:rsid w:val="00D3269D"/>
    <w:rsid w:val="00D44E31"/>
    <w:rsid w:val="00D87F57"/>
    <w:rsid w:val="00DA1D7C"/>
    <w:rsid w:val="00DB108A"/>
    <w:rsid w:val="00DD4E43"/>
    <w:rsid w:val="00DD5BDB"/>
    <w:rsid w:val="00DD726E"/>
    <w:rsid w:val="00DE3CFE"/>
    <w:rsid w:val="00DE5345"/>
    <w:rsid w:val="00DF148B"/>
    <w:rsid w:val="00E00372"/>
    <w:rsid w:val="00E10231"/>
    <w:rsid w:val="00E10BC8"/>
    <w:rsid w:val="00E20178"/>
    <w:rsid w:val="00E26326"/>
    <w:rsid w:val="00E33167"/>
    <w:rsid w:val="00E465A0"/>
    <w:rsid w:val="00E51E1D"/>
    <w:rsid w:val="00E56BC5"/>
    <w:rsid w:val="00E57206"/>
    <w:rsid w:val="00E60784"/>
    <w:rsid w:val="00E65549"/>
    <w:rsid w:val="00E65CBB"/>
    <w:rsid w:val="00E7343A"/>
    <w:rsid w:val="00E74695"/>
    <w:rsid w:val="00E8219D"/>
    <w:rsid w:val="00E855EC"/>
    <w:rsid w:val="00E95376"/>
    <w:rsid w:val="00E9763E"/>
    <w:rsid w:val="00EA3D66"/>
    <w:rsid w:val="00EB1677"/>
    <w:rsid w:val="00EC527A"/>
    <w:rsid w:val="00EC60CA"/>
    <w:rsid w:val="00ED11F3"/>
    <w:rsid w:val="00ED287E"/>
    <w:rsid w:val="00EE6988"/>
    <w:rsid w:val="00F04AD8"/>
    <w:rsid w:val="00F23508"/>
    <w:rsid w:val="00F34995"/>
    <w:rsid w:val="00F35696"/>
    <w:rsid w:val="00F4623E"/>
    <w:rsid w:val="00F534D5"/>
    <w:rsid w:val="00F53752"/>
    <w:rsid w:val="00F5498B"/>
    <w:rsid w:val="00F71174"/>
    <w:rsid w:val="00F75B77"/>
    <w:rsid w:val="00FA5FE0"/>
    <w:rsid w:val="00FA665A"/>
    <w:rsid w:val="00FB2EB2"/>
    <w:rsid w:val="00FC420A"/>
    <w:rsid w:val="00FD1CA8"/>
    <w:rsid w:val="00FD64F5"/>
    <w:rsid w:val="00FE0132"/>
    <w:rsid w:val="00FE2D6E"/>
    <w:rsid w:val="00FE7BD2"/>
    <w:rsid w:val="00FF7EEB"/>
    <w:rsid w:val="0122A636"/>
    <w:rsid w:val="01C2030C"/>
    <w:rsid w:val="02B9F521"/>
    <w:rsid w:val="035538E7"/>
    <w:rsid w:val="058D45FE"/>
    <w:rsid w:val="05E0C9E2"/>
    <w:rsid w:val="065D122E"/>
    <w:rsid w:val="07CF40CB"/>
    <w:rsid w:val="08E2BF1A"/>
    <w:rsid w:val="0AC867EA"/>
    <w:rsid w:val="0AF38CB5"/>
    <w:rsid w:val="0B046000"/>
    <w:rsid w:val="0CE2A4DB"/>
    <w:rsid w:val="0CF67824"/>
    <w:rsid w:val="0D0C883E"/>
    <w:rsid w:val="0D4F7EE3"/>
    <w:rsid w:val="0D4FC291"/>
    <w:rsid w:val="0D814726"/>
    <w:rsid w:val="0E70722A"/>
    <w:rsid w:val="0E78B9DB"/>
    <w:rsid w:val="0E82DDC8"/>
    <w:rsid w:val="0E8916A8"/>
    <w:rsid w:val="101D80F3"/>
    <w:rsid w:val="11500329"/>
    <w:rsid w:val="12255EEF"/>
    <w:rsid w:val="1254B636"/>
    <w:rsid w:val="13E97E02"/>
    <w:rsid w:val="1540E19A"/>
    <w:rsid w:val="15EC3CCD"/>
    <w:rsid w:val="1621776C"/>
    <w:rsid w:val="16CBACA3"/>
    <w:rsid w:val="16DA99B5"/>
    <w:rsid w:val="178D9D2B"/>
    <w:rsid w:val="18ADD223"/>
    <w:rsid w:val="18EB9B4B"/>
    <w:rsid w:val="1A258FD9"/>
    <w:rsid w:val="1B6AE343"/>
    <w:rsid w:val="1B929DEE"/>
    <w:rsid w:val="1B9C7699"/>
    <w:rsid w:val="1BB8462A"/>
    <w:rsid w:val="1BFBCA7C"/>
    <w:rsid w:val="1C0E57D0"/>
    <w:rsid w:val="1C54B521"/>
    <w:rsid w:val="1CD006F1"/>
    <w:rsid w:val="20BECEA9"/>
    <w:rsid w:val="21570CA5"/>
    <w:rsid w:val="21B5CCEA"/>
    <w:rsid w:val="2229259B"/>
    <w:rsid w:val="225F4283"/>
    <w:rsid w:val="228D0C4B"/>
    <w:rsid w:val="22BEE056"/>
    <w:rsid w:val="22FC3881"/>
    <w:rsid w:val="23446647"/>
    <w:rsid w:val="24E746C7"/>
    <w:rsid w:val="2633556B"/>
    <w:rsid w:val="27EABFED"/>
    <w:rsid w:val="2A2A42D7"/>
    <w:rsid w:val="2B031338"/>
    <w:rsid w:val="2B4126B9"/>
    <w:rsid w:val="2B4774F3"/>
    <w:rsid w:val="2D0B5104"/>
    <w:rsid w:val="2E80C3E0"/>
    <w:rsid w:val="2ED4C645"/>
    <w:rsid w:val="2F41D9F6"/>
    <w:rsid w:val="3010FDB4"/>
    <w:rsid w:val="30CAB336"/>
    <w:rsid w:val="30CC7E1E"/>
    <w:rsid w:val="32800973"/>
    <w:rsid w:val="339335C8"/>
    <w:rsid w:val="3539BCDB"/>
    <w:rsid w:val="3583507D"/>
    <w:rsid w:val="3584E875"/>
    <w:rsid w:val="35A03BB5"/>
    <w:rsid w:val="36552BC2"/>
    <w:rsid w:val="371F36F5"/>
    <w:rsid w:val="37506057"/>
    <w:rsid w:val="38B27D3B"/>
    <w:rsid w:val="3939F7E4"/>
    <w:rsid w:val="3A1D7144"/>
    <w:rsid w:val="3A4F72DF"/>
    <w:rsid w:val="3B30DA29"/>
    <w:rsid w:val="3B543C63"/>
    <w:rsid w:val="3D063B91"/>
    <w:rsid w:val="3D9957AD"/>
    <w:rsid w:val="3DFDE71D"/>
    <w:rsid w:val="3E820C96"/>
    <w:rsid w:val="3F43AD22"/>
    <w:rsid w:val="3FE2EDD8"/>
    <w:rsid w:val="3FFE369D"/>
    <w:rsid w:val="425EA49D"/>
    <w:rsid w:val="42F50296"/>
    <w:rsid w:val="430AEBE0"/>
    <w:rsid w:val="440E1DDE"/>
    <w:rsid w:val="448D6C4F"/>
    <w:rsid w:val="44B3EC2F"/>
    <w:rsid w:val="44CB7070"/>
    <w:rsid w:val="4540561F"/>
    <w:rsid w:val="45F9C971"/>
    <w:rsid w:val="46FB9AC8"/>
    <w:rsid w:val="47299ED9"/>
    <w:rsid w:val="47DA80F3"/>
    <w:rsid w:val="485B6105"/>
    <w:rsid w:val="48E0D345"/>
    <w:rsid w:val="49AE2825"/>
    <w:rsid w:val="4A4FFB3F"/>
    <w:rsid w:val="4BBAA7D4"/>
    <w:rsid w:val="4CA8DA22"/>
    <w:rsid w:val="4D4A2C88"/>
    <w:rsid w:val="4EE69FC6"/>
    <w:rsid w:val="50427519"/>
    <w:rsid w:val="50A8428C"/>
    <w:rsid w:val="51055800"/>
    <w:rsid w:val="51775613"/>
    <w:rsid w:val="52002B00"/>
    <w:rsid w:val="53306DEA"/>
    <w:rsid w:val="536B1F19"/>
    <w:rsid w:val="5413DEC0"/>
    <w:rsid w:val="544EC8FD"/>
    <w:rsid w:val="55C5DB1A"/>
    <w:rsid w:val="55F622A1"/>
    <w:rsid w:val="5684F5A9"/>
    <w:rsid w:val="57B3870F"/>
    <w:rsid w:val="57FC4024"/>
    <w:rsid w:val="5A7CA5AE"/>
    <w:rsid w:val="5A8D3622"/>
    <w:rsid w:val="5AEE4838"/>
    <w:rsid w:val="5B5A5942"/>
    <w:rsid w:val="5BD14333"/>
    <w:rsid w:val="5C3497EE"/>
    <w:rsid w:val="5CD2601F"/>
    <w:rsid w:val="5CD7EC97"/>
    <w:rsid w:val="5E79DB50"/>
    <w:rsid w:val="5E939A3D"/>
    <w:rsid w:val="5EBC94FE"/>
    <w:rsid w:val="5EF6C56B"/>
    <w:rsid w:val="5FE49735"/>
    <w:rsid w:val="5FFDFD1A"/>
    <w:rsid w:val="61A94153"/>
    <w:rsid w:val="63E856A4"/>
    <w:rsid w:val="64F02027"/>
    <w:rsid w:val="650B311B"/>
    <w:rsid w:val="6715A8D4"/>
    <w:rsid w:val="676D1B77"/>
    <w:rsid w:val="6801B0A8"/>
    <w:rsid w:val="68E63071"/>
    <w:rsid w:val="68F8EC1F"/>
    <w:rsid w:val="697F82FF"/>
    <w:rsid w:val="6A2A0238"/>
    <w:rsid w:val="6A49FB5E"/>
    <w:rsid w:val="6AD2FDF9"/>
    <w:rsid w:val="6AEC245E"/>
    <w:rsid w:val="6AF8E0DA"/>
    <w:rsid w:val="6B32DE9C"/>
    <w:rsid w:val="6C37AA7A"/>
    <w:rsid w:val="6E7056AD"/>
    <w:rsid w:val="7022FF63"/>
    <w:rsid w:val="724EC730"/>
    <w:rsid w:val="725EA669"/>
    <w:rsid w:val="728BA9F0"/>
    <w:rsid w:val="731147C7"/>
    <w:rsid w:val="731FF9D9"/>
    <w:rsid w:val="735D52B2"/>
    <w:rsid w:val="73825EFF"/>
    <w:rsid w:val="7543431A"/>
    <w:rsid w:val="75A22FE2"/>
    <w:rsid w:val="75DFDEA6"/>
    <w:rsid w:val="77C2F1D7"/>
    <w:rsid w:val="78CD84CB"/>
    <w:rsid w:val="79912BC3"/>
    <w:rsid w:val="7B04E2B9"/>
    <w:rsid w:val="7B9C38F9"/>
    <w:rsid w:val="7BAAD6CF"/>
    <w:rsid w:val="7C8EEAC9"/>
    <w:rsid w:val="7CEB8D16"/>
    <w:rsid w:val="7E5C630E"/>
    <w:rsid w:val="7E9757AC"/>
    <w:rsid w:val="7FAAA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DF06C"/>
  <w15:chartTrackingRefBased/>
  <w15:docId w15:val="{B9F849F7-8B6C-443D-8AFF-80781D130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6B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semiHidden/>
    <w:unhideWhenUsed/>
    <w:rsid w:val="000E0B52"/>
    <w:rPr>
      <w:color w:val="605E5C"/>
      <w:shd w:val="clear" w:color="auto" w:fill="E1DFDD"/>
    </w:rPr>
  </w:style>
  <w:style w:type="character" w:styleId="FollowedHyperlink">
    <w:name w:val="FollowedHyperlink"/>
    <w:basedOn w:val="DefaultParagraphFont"/>
    <w:uiPriority w:val="99"/>
    <w:semiHidden/>
    <w:unhideWhenUsed/>
    <w:rsid w:val="007B7E18"/>
    <w:rPr>
      <w:color w:val="954F72" w:themeColor="followedHyperlink"/>
      <w:u w:val="single"/>
    </w:rPr>
  </w:style>
  <w:style w:type="paragraph" w:styleId="Header">
    <w:name w:val="header"/>
    <w:basedOn w:val="Normal"/>
    <w:link w:val="HeaderChar"/>
    <w:uiPriority w:val="99"/>
    <w:unhideWhenUsed/>
    <w:rsid w:val="000545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5C9"/>
  </w:style>
  <w:style w:type="paragraph" w:styleId="Footer">
    <w:name w:val="footer"/>
    <w:basedOn w:val="Normal"/>
    <w:link w:val="FooterChar"/>
    <w:uiPriority w:val="99"/>
    <w:unhideWhenUsed/>
    <w:rsid w:val="000545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5C9"/>
  </w:style>
  <w:style w:type="paragraph" w:styleId="CommentText">
    <w:name w:val="annotation text"/>
    <w:basedOn w:val="Normal"/>
    <w:link w:val="CommentTextChar"/>
    <w:uiPriority w:val="99"/>
    <w:unhideWhenUsed/>
    <w:rsid w:val="00C70FCA"/>
    <w:pPr>
      <w:spacing w:line="240" w:lineRule="auto"/>
    </w:pPr>
    <w:rPr>
      <w:sz w:val="20"/>
      <w:szCs w:val="20"/>
    </w:rPr>
  </w:style>
  <w:style w:type="character" w:customStyle="1" w:styleId="CommentTextChar">
    <w:name w:val="Comment Text Char"/>
    <w:basedOn w:val="DefaultParagraphFont"/>
    <w:link w:val="CommentText"/>
    <w:uiPriority w:val="99"/>
    <w:rsid w:val="00C70FCA"/>
    <w:rPr>
      <w:sz w:val="20"/>
      <w:szCs w:val="20"/>
    </w:rPr>
  </w:style>
  <w:style w:type="character" w:styleId="CommentReference">
    <w:name w:val="annotation reference"/>
    <w:basedOn w:val="DefaultParagraphFont"/>
    <w:uiPriority w:val="99"/>
    <w:semiHidden/>
    <w:unhideWhenUsed/>
    <w:rsid w:val="00C70FCA"/>
    <w:rPr>
      <w:sz w:val="16"/>
      <w:szCs w:val="16"/>
    </w:rPr>
  </w:style>
  <w:style w:type="paragraph" w:styleId="Revision">
    <w:name w:val="Revision"/>
    <w:hidden/>
    <w:uiPriority w:val="99"/>
    <w:semiHidden/>
    <w:rsid w:val="007F6249"/>
    <w:pPr>
      <w:spacing w:after="0" w:line="240" w:lineRule="auto"/>
    </w:pPr>
  </w:style>
  <w:style w:type="paragraph" w:styleId="CommentSubject">
    <w:name w:val="annotation subject"/>
    <w:basedOn w:val="CommentText"/>
    <w:next w:val="CommentText"/>
    <w:link w:val="CommentSubjectChar"/>
    <w:uiPriority w:val="99"/>
    <w:semiHidden/>
    <w:unhideWhenUsed/>
    <w:rsid w:val="004D729D"/>
    <w:rPr>
      <w:b/>
      <w:bCs/>
    </w:rPr>
  </w:style>
  <w:style w:type="character" w:customStyle="1" w:styleId="CommentSubjectChar">
    <w:name w:val="Comment Subject Char"/>
    <w:basedOn w:val="CommentTextChar"/>
    <w:link w:val="CommentSubject"/>
    <w:uiPriority w:val="99"/>
    <w:semiHidden/>
    <w:rsid w:val="004D72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2127033">
      <w:bodyDiv w:val="1"/>
      <w:marLeft w:val="0"/>
      <w:marRight w:val="0"/>
      <w:marTop w:val="0"/>
      <w:marBottom w:val="0"/>
      <w:divBdr>
        <w:top w:val="none" w:sz="0" w:space="0" w:color="auto"/>
        <w:left w:val="none" w:sz="0" w:space="0" w:color="auto"/>
        <w:bottom w:val="none" w:sz="0" w:space="0" w:color="auto"/>
        <w:right w:val="none" w:sz="0" w:space="0" w:color="auto"/>
      </w:divBdr>
    </w:div>
    <w:div w:id="1400638212">
      <w:bodyDiv w:val="1"/>
      <w:marLeft w:val="0"/>
      <w:marRight w:val="0"/>
      <w:marTop w:val="0"/>
      <w:marBottom w:val="0"/>
      <w:divBdr>
        <w:top w:val="none" w:sz="0" w:space="0" w:color="auto"/>
        <w:left w:val="none" w:sz="0" w:space="0" w:color="auto"/>
        <w:bottom w:val="none" w:sz="0" w:space="0" w:color="auto"/>
        <w:right w:val="none" w:sz="0" w:space="0" w:color="auto"/>
      </w:divBdr>
    </w:div>
    <w:div w:id="1480154657">
      <w:bodyDiv w:val="1"/>
      <w:marLeft w:val="0"/>
      <w:marRight w:val="0"/>
      <w:marTop w:val="0"/>
      <w:marBottom w:val="0"/>
      <w:divBdr>
        <w:top w:val="none" w:sz="0" w:space="0" w:color="auto"/>
        <w:left w:val="none" w:sz="0" w:space="0" w:color="auto"/>
        <w:bottom w:val="none" w:sz="0" w:space="0" w:color="auto"/>
        <w:right w:val="none" w:sz="0" w:space="0" w:color="auto"/>
      </w:divBdr>
    </w:div>
    <w:div w:id="203522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dpi.com/1660-4601/20/1/75?ftag=MSFd61514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ealthvermont.gov/sites/default/files/documents/pdf/ENV_CH_WxHealth.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c.vermont.gov/sites/psbnew/files/documents/Annual%20Weatherization%20Leg%20Report%20-%20Jan%202024.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7AE8F4E0AF5340823DF948F1140DFD" ma:contentTypeVersion="22" ma:contentTypeDescription="Create a new document." ma:contentTypeScope="" ma:versionID="df3fb9d38b9f6d4ca69d9c680256b86b">
  <xsd:schema xmlns:xsd="http://www.w3.org/2001/XMLSchema" xmlns:xs="http://www.w3.org/2001/XMLSchema" xmlns:p="http://schemas.microsoft.com/office/2006/metadata/properties" xmlns:ns2="49d895b4-5d9e-4ed8-9598-d4d8de5692cc" xmlns:ns3="9a47192a-537f-4d27-bfd7-4c9e78bf098e" targetNamespace="http://schemas.microsoft.com/office/2006/metadata/properties" ma:root="true" ma:fieldsID="0c7d21d5ca3ca3bc1de40d47c5a07255" ns2:_="" ns3:_="">
    <xsd:import namespace="49d895b4-5d9e-4ed8-9598-d4d8de5692cc"/>
    <xsd:import namespace="9a47192a-537f-4d27-bfd7-4c9e78bf098e"/>
    <xsd:element name="properties">
      <xsd:complexType>
        <xsd:sequence>
          <xsd:element name="documentManagement">
            <xsd:complexType>
              <xsd:all>
                <xsd:element ref="ns2:Document_x0020_Owner" minOccurs="0"/>
                <xsd:element ref="ns2:_dlc_DocId" minOccurs="0"/>
                <xsd:element ref="ns2:_dlc_DocIdUrl" minOccurs="0"/>
                <xsd:element ref="ns2:_dlc_DocIdPersistId" minOccurs="0"/>
                <xsd:element ref="ns3:i2020bd27bc6439e862c3cebf1757773" minOccurs="0"/>
                <xsd:element ref="ns2:TaxCatchAll"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d895b4-5d9e-4ed8-9598-d4d8de5692cc" elementFormDefault="qualified">
    <xsd:import namespace="http://schemas.microsoft.com/office/2006/documentManagement/types"/>
    <xsd:import namespace="http://schemas.microsoft.com/office/infopath/2007/PartnerControls"/>
    <xsd:element name="Document_x0020_Owner" ma:index="8" nillable="true"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dexed="true"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element name="TaxCatchAll" ma:index="14" nillable="true" ma:displayName="Taxonomy Catch All Column" ma:hidden="true" ma:list="{c3a7bab5-1e22-481f-ba46-9818eab8948b}" ma:internalName="TaxCatchAll" ma:showField="CatchAllData" ma:web="49d895b4-5d9e-4ed8-9598-d4d8de5692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a47192a-537f-4d27-bfd7-4c9e78bf098e" elementFormDefault="qualified">
    <xsd:import namespace="http://schemas.microsoft.com/office/2006/documentManagement/types"/>
    <xsd:import namespace="http://schemas.microsoft.com/office/infopath/2007/PartnerControls"/>
    <xsd:element name="i2020bd27bc6439e862c3cebf1757773" ma:index="13" nillable="true" ma:taxonomy="true" ma:internalName="i2020bd27bc6439e862c3cebf1757773" ma:taxonomyFieldName="Document_x0020_Type" ma:displayName="Document Type" ma:default="" ma:fieldId="{22020bd2-7bc6-439e-862c-3cebf1757773}" ma:sspId="0b405ef0-1b2e-414d-886f-c62305e76806" ma:termSetId="469bb79a-9bb3-400a-be7e-044c96165f21" ma:anchorId="00000000-0000-0000-0000-000000000000" ma:open="fals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49d895b4-5d9e-4ed8-9598-d4d8de5692cc" xsi:nil="true"/>
    <i2020bd27bc6439e862c3cebf1757773 xmlns="9a47192a-537f-4d27-bfd7-4c9e78bf098e">
      <Terms xmlns="http://schemas.microsoft.com/office/infopath/2007/PartnerControls"/>
    </i2020bd27bc6439e862c3cebf1757773>
    <_dlc_DocIdPersistId xmlns="49d895b4-5d9e-4ed8-9598-d4d8de5692cc" xsi:nil="true"/>
    <Document_x0020_Owner xmlns="49d895b4-5d9e-4ed8-9598-d4d8de5692cc">
      <UserInfo>
        <DisplayName/>
        <AccountId xsi:nil="true"/>
        <AccountType/>
      </UserInfo>
    </Document_x0020_Owner>
    <_dlc_DocId xmlns="49d895b4-5d9e-4ed8-9598-d4d8de5692cc">AHSVDHCHAMP-699523658-1455</_dlc_DocId>
    <_dlc_DocIdUrl xmlns="49d895b4-5d9e-4ed8-9598-d4d8de5692cc">
      <Url>https://vermontgov.sharepoint.com/sites/AHS-VDHCHAMP/_layouts/15/DocIdRedir.aspx?ID=AHSVDHCHAMP-699523658-1455</Url>
      <Description>AHSVDHCHAMP-699523658-1455</Description>
    </_dlc_DocIdUrl>
  </documentManagement>
</p:properties>
</file>

<file path=customXml/itemProps1.xml><?xml version="1.0" encoding="utf-8"?>
<ds:datastoreItem xmlns:ds="http://schemas.openxmlformats.org/officeDocument/2006/customXml" ds:itemID="{57E04E97-42B3-4AAD-8C35-4E4F770952EC}">
  <ds:schemaRefs>
    <ds:schemaRef ds:uri="http://schemas.microsoft.com/sharepoint/v3/contenttype/forms"/>
  </ds:schemaRefs>
</ds:datastoreItem>
</file>

<file path=customXml/itemProps2.xml><?xml version="1.0" encoding="utf-8"?>
<ds:datastoreItem xmlns:ds="http://schemas.openxmlformats.org/officeDocument/2006/customXml" ds:itemID="{FA58293C-264C-417A-B08F-72A7ACA5B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d895b4-5d9e-4ed8-9598-d4d8de5692cc"/>
    <ds:schemaRef ds:uri="9a47192a-537f-4d27-bfd7-4c9e78bf0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DBDD03-507C-4493-8235-13C68988A542}">
  <ds:schemaRefs>
    <ds:schemaRef ds:uri="http://schemas.microsoft.com/sharepoint/events"/>
  </ds:schemaRefs>
</ds:datastoreItem>
</file>

<file path=customXml/itemProps4.xml><?xml version="1.0" encoding="utf-8"?>
<ds:datastoreItem xmlns:ds="http://schemas.openxmlformats.org/officeDocument/2006/customXml" ds:itemID="{926F48A7-587B-4A3E-B53D-056605A530B5}">
  <ds:schemaRefs>
    <ds:schemaRef ds:uri="http://purl.org/dc/elements/1.1/"/>
    <ds:schemaRef ds:uri="http://schemas.microsoft.com/office/2006/documentManagement/types"/>
    <ds:schemaRef ds:uri="9a47192a-537f-4d27-bfd7-4c9e78bf098e"/>
    <ds:schemaRef ds:uri="http://schemas.microsoft.com/office/infopath/2007/PartnerControls"/>
    <ds:schemaRef ds:uri="http://schemas.openxmlformats.org/package/2006/metadata/core-properties"/>
    <ds:schemaRef ds:uri="http://purl.org/dc/dcmitype/"/>
    <ds:schemaRef ds:uri="49d895b4-5d9e-4ed8-9598-d4d8de5692cc"/>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Pages>
  <Words>1535</Words>
  <Characters>8756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10271</CharactersWithSpaces>
  <SharedDoc>false</SharedDoc>
  <HLinks>
    <vt:vector size="18" baseType="variant">
      <vt:variant>
        <vt:i4>2752568</vt:i4>
      </vt:variant>
      <vt:variant>
        <vt:i4>6</vt:i4>
      </vt:variant>
      <vt:variant>
        <vt:i4>0</vt:i4>
      </vt:variant>
      <vt:variant>
        <vt:i4>5</vt:i4>
      </vt:variant>
      <vt:variant>
        <vt:lpwstr>https://www.mdpi.com/1660-4601/20/1/75?ftag=MSFd61514f</vt:lpwstr>
      </vt:variant>
      <vt:variant>
        <vt:lpwstr/>
      </vt:variant>
      <vt:variant>
        <vt:i4>851974</vt:i4>
      </vt:variant>
      <vt:variant>
        <vt:i4>3</vt:i4>
      </vt:variant>
      <vt:variant>
        <vt:i4>0</vt:i4>
      </vt:variant>
      <vt:variant>
        <vt:i4>5</vt:i4>
      </vt:variant>
      <vt:variant>
        <vt:lpwstr>https://www.healthvermont.gov/sites/default/files/documents/pdf/ENV_CH_WxHealth.pdf</vt:lpwstr>
      </vt:variant>
      <vt:variant>
        <vt:lpwstr>:~:text=Weatherizing%202%2C000%20low-income%20homes%20in%20Vermont%20would%20help,by%20reducing%20fine%20particulate%20emissions%20from%20heating%20systems.</vt:lpwstr>
      </vt:variant>
      <vt:variant>
        <vt:i4>1572884</vt:i4>
      </vt:variant>
      <vt:variant>
        <vt:i4>0</vt:i4>
      </vt:variant>
      <vt:variant>
        <vt:i4>0</vt:i4>
      </vt:variant>
      <vt:variant>
        <vt:i4>5</vt:i4>
      </vt:variant>
      <vt:variant>
        <vt:lpwstr>https://puc.vermont.gov/sites/psbnew/files/documents/Annual Weatherization Leg Report - Jan 2024.pdf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Ulmer, Jared (he/him)</dc:creator>
  <cp:keywords/>
  <dc:description/>
  <cp:lastModifiedBy>Ulmer, Jared (he/him)</cp:lastModifiedBy>
  <cp:revision>28</cp:revision>
  <dcterms:created xsi:type="dcterms:W3CDTF">2024-10-15T13:55:00Z</dcterms:created>
  <dcterms:modified xsi:type="dcterms:W3CDTF">2024-10-15T17:05:00Z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0x0101002A7AE8F4E0AF5340823DF948F1140DFD</vt:lpwstr>
  </property>
  <property fmtid="{D5CDD505-2E9C-101B-9397-08002B2CF9AE}" pid="3" name="Document Type">
    <vt:lpwstr/>
  </property>
  <property fmtid="{D5CDD505-2E9C-101B-9397-08002B2CF9AE}" pid="4" name="MediaServiceImageTags">
    <vt:lpwstr/>
  </property>
  <property fmtid="{D5CDD505-2E9C-101B-9397-08002B2CF9AE}" pid="5" name="_dlc_DocIdItemGuid">
    <vt:lpwstr>d17a536a-33e8-47f1-a060-dcdf7a3b7ba1</vt:lpwstr>
  </property>
</Properties>
</file>