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7539341"/>
        <w:docPartObj>
          <w:docPartGallery w:val="Cover Pages"/>
          <w:docPartUnique/>
        </w:docPartObj>
      </w:sdtPr>
      <w:sdtEndPr>
        <w:rPr>
          <w:b/>
          <w:u w:val="single"/>
        </w:rPr>
      </w:sdtEndPr>
      <w:sdtContent>
        <w:p w14:paraId="485F7DAD" w14:textId="057398E8" w:rsidR="0012725B" w:rsidRDefault="004D25D6">
          <w:pPr>
            <w:rPr>
              <w:b/>
              <w:u w:val="single"/>
            </w:rPr>
          </w:pPr>
          <w:r w:rsidRPr="00EE673D">
            <w:rPr>
              <w:noProof/>
            </w:rPr>
            <w:drawing>
              <wp:inline distT="0" distB="0" distL="0" distR="0" wp14:anchorId="2ACCDB4B" wp14:editId="10059EE6">
                <wp:extent cx="5943600" cy="937895"/>
                <wp:effectExtent l="0" t="0" r="0" b="0"/>
                <wp:docPr id="1" name="Picture 1" descr="view of Vermont mount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 of Vermont mountai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937895"/>
                        </a:xfrm>
                        <a:prstGeom prst="rect">
                          <a:avLst/>
                        </a:prstGeom>
                        <a:noFill/>
                        <a:ln>
                          <a:noFill/>
                        </a:ln>
                      </pic:spPr>
                    </pic:pic>
                  </a:graphicData>
                </a:graphic>
              </wp:inline>
            </w:drawing>
          </w:r>
        </w:p>
        <w:p w14:paraId="1265384E" w14:textId="77777777" w:rsidR="0012725B" w:rsidRDefault="0012725B">
          <w:pPr>
            <w:rPr>
              <w:b/>
              <w:u w:val="single"/>
            </w:rPr>
          </w:pPr>
        </w:p>
        <w:p w14:paraId="502DD5BC" w14:textId="77777777" w:rsidR="0012725B" w:rsidRDefault="0012725B">
          <w:pPr>
            <w:rPr>
              <w:b/>
              <w:u w:val="single"/>
            </w:rPr>
          </w:pPr>
        </w:p>
        <w:p w14:paraId="096D7F7E" w14:textId="77777777" w:rsidR="0012725B" w:rsidRDefault="0012725B">
          <w:pPr>
            <w:rPr>
              <w:b/>
              <w:u w:val="single"/>
            </w:rPr>
          </w:pPr>
        </w:p>
        <w:p w14:paraId="48C0B15B" w14:textId="77777777" w:rsidR="0012725B" w:rsidRDefault="0012725B">
          <w:pPr>
            <w:rPr>
              <w:b/>
              <w:u w:val="single"/>
            </w:rPr>
          </w:pPr>
        </w:p>
        <w:p w14:paraId="2360CCD2" w14:textId="77777777" w:rsidR="0012725B" w:rsidRPr="00AC2873" w:rsidRDefault="0012725B" w:rsidP="0012725B">
          <w:pPr>
            <w:jc w:val="center"/>
            <w:rPr>
              <w:sz w:val="72"/>
              <w:szCs w:val="72"/>
            </w:rPr>
          </w:pPr>
          <w:r w:rsidRPr="00AC2873">
            <w:rPr>
              <w:sz w:val="72"/>
              <w:szCs w:val="72"/>
            </w:rPr>
            <w:t>State of Vermont</w:t>
          </w:r>
        </w:p>
        <w:p w14:paraId="539E692F" w14:textId="77777777" w:rsidR="0012725B" w:rsidRPr="00AC2873" w:rsidRDefault="0012725B" w:rsidP="0012725B">
          <w:pPr>
            <w:jc w:val="center"/>
            <w:rPr>
              <w:sz w:val="72"/>
              <w:szCs w:val="72"/>
            </w:rPr>
          </w:pPr>
          <w:r w:rsidRPr="00AC2873">
            <w:rPr>
              <w:sz w:val="72"/>
              <w:szCs w:val="72"/>
            </w:rPr>
            <w:t>Public Utility Commission</w:t>
          </w:r>
        </w:p>
        <w:p w14:paraId="7F360231" w14:textId="77777777" w:rsidR="0012725B" w:rsidRDefault="0012725B" w:rsidP="0012725B">
          <w:pPr>
            <w:jc w:val="center"/>
            <w:rPr>
              <w:sz w:val="96"/>
              <w:szCs w:val="96"/>
            </w:rPr>
          </w:pPr>
        </w:p>
        <w:p w14:paraId="55FF1500" w14:textId="77777777" w:rsidR="0012725B" w:rsidRPr="00AC2873" w:rsidRDefault="0012725B" w:rsidP="0012725B">
          <w:pPr>
            <w:jc w:val="center"/>
            <w:rPr>
              <w:b/>
              <w:sz w:val="72"/>
              <w:szCs w:val="72"/>
            </w:rPr>
          </w:pPr>
          <w:r w:rsidRPr="00AC2873">
            <w:rPr>
              <w:b/>
              <w:sz w:val="72"/>
              <w:szCs w:val="72"/>
            </w:rPr>
            <w:t>ANNUAL REPORT</w:t>
          </w:r>
        </w:p>
        <w:p w14:paraId="35D57CF0" w14:textId="2EB28785" w:rsidR="0012725B" w:rsidRPr="00AC2873" w:rsidRDefault="0012725B" w:rsidP="0012725B">
          <w:pPr>
            <w:jc w:val="center"/>
            <w:rPr>
              <w:b/>
              <w:sz w:val="72"/>
              <w:szCs w:val="72"/>
            </w:rPr>
          </w:pPr>
          <w:r w:rsidRPr="00AC2873">
            <w:rPr>
              <w:b/>
              <w:sz w:val="72"/>
              <w:szCs w:val="72"/>
            </w:rPr>
            <w:t>20</w:t>
          </w:r>
          <w:r w:rsidR="009C1A07">
            <w:rPr>
              <w:b/>
              <w:sz w:val="72"/>
              <w:szCs w:val="72"/>
            </w:rPr>
            <w:t>2</w:t>
          </w:r>
          <w:r w:rsidR="00167245">
            <w:rPr>
              <w:b/>
              <w:sz w:val="72"/>
              <w:szCs w:val="72"/>
            </w:rPr>
            <w:t>2</w:t>
          </w:r>
        </w:p>
        <w:p w14:paraId="5A26D828" w14:textId="225F10FB" w:rsidR="0012725B" w:rsidRDefault="0012725B" w:rsidP="0012725B">
          <w:pPr>
            <w:jc w:val="center"/>
            <w:rPr>
              <w:b/>
              <w:sz w:val="96"/>
              <w:szCs w:val="96"/>
            </w:rPr>
          </w:pPr>
        </w:p>
        <w:p w14:paraId="341B344B" w14:textId="439DFC07" w:rsidR="00AC2873" w:rsidRDefault="00AC2873" w:rsidP="0012725B">
          <w:pPr>
            <w:jc w:val="center"/>
            <w:rPr>
              <w:b/>
              <w:sz w:val="96"/>
              <w:szCs w:val="96"/>
            </w:rPr>
          </w:pPr>
        </w:p>
        <w:p w14:paraId="1EDA625A" w14:textId="3AFBC6F3" w:rsidR="00AC2873" w:rsidRDefault="00AC2873" w:rsidP="0012725B">
          <w:pPr>
            <w:jc w:val="center"/>
            <w:rPr>
              <w:b/>
              <w:sz w:val="96"/>
              <w:szCs w:val="96"/>
            </w:rPr>
          </w:pPr>
        </w:p>
        <w:p w14:paraId="680C3137" w14:textId="77777777" w:rsidR="00AC2873" w:rsidRDefault="00AC2873" w:rsidP="0012725B">
          <w:pPr>
            <w:jc w:val="center"/>
            <w:rPr>
              <w:b/>
              <w:sz w:val="96"/>
              <w:szCs w:val="96"/>
            </w:rPr>
          </w:pPr>
        </w:p>
        <w:p w14:paraId="1F3F4FA0" w14:textId="13940F75" w:rsidR="0012725B" w:rsidRPr="008C53DC" w:rsidRDefault="0012725B" w:rsidP="0012725B">
          <w:pPr>
            <w:jc w:val="right"/>
            <w:rPr>
              <w:b/>
            </w:rPr>
          </w:pPr>
          <w:r w:rsidRPr="008C53DC">
            <w:rPr>
              <w:b/>
            </w:rPr>
            <w:t xml:space="preserve">ISSUED: </w:t>
          </w:r>
          <w:r w:rsidR="00AC3DE3">
            <w:rPr>
              <w:b/>
            </w:rPr>
            <w:t>April</w:t>
          </w:r>
          <w:r w:rsidR="00845AD3">
            <w:rPr>
              <w:b/>
            </w:rPr>
            <w:t xml:space="preserve"> </w:t>
          </w:r>
          <w:r w:rsidR="001819B4">
            <w:rPr>
              <w:b/>
            </w:rPr>
            <w:t>19</w:t>
          </w:r>
          <w:r w:rsidR="00845AD3">
            <w:rPr>
              <w:b/>
            </w:rPr>
            <w:t>, 2023</w:t>
          </w:r>
        </w:p>
        <w:p w14:paraId="5ADE5F7A" w14:textId="77777777" w:rsidR="0012725B" w:rsidRDefault="0012725B">
          <w:pPr>
            <w:rPr>
              <w:b/>
              <w:u w:val="single"/>
            </w:rPr>
          </w:pPr>
        </w:p>
        <w:p w14:paraId="2001A78F" w14:textId="77777777" w:rsidR="0012725B" w:rsidRDefault="0012725B">
          <w:pPr>
            <w:rPr>
              <w:b/>
              <w:u w:val="single"/>
            </w:rPr>
          </w:pPr>
        </w:p>
        <w:p w14:paraId="7A85E36D" w14:textId="77777777" w:rsidR="0012725B" w:rsidRDefault="0012725B">
          <w:pPr>
            <w:rPr>
              <w:b/>
              <w:u w:val="single"/>
            </w:rPr>
          </w:pPr>
        </w:p>
        <w:p w14:paraId="7D72BB90" w14:textId="77777777" w:rsidR="0012725B" w:rsidRDefault="0012725B">
          <w:pPr>
            <w:rPr>
              <w:b/>
              <w:u w:val="single"/>
            </w:rPr>
          </w:pPr>
        </w:p>
        <w:p w14:paraId="64BD7F51" w14:textId="46A5A7DC" w:rsidR="000901EA" w:rsidRDefault="00EA21A6" w:rsidP="00EA21A6">
          <w:pPr>
            <w:spacing w:line="480" w:lineRule="auto"/>
            <w:jc w:val="center"/>
            <w:rPr>
              <w:b/>
              <w:u w:val="single"/>
            </w:rPr>
          </w:pPr>
          <w:r>
            <w:rPr>
              <w:b/>
              <w:u w:val="single"/>
            </w:rPr>
            <w:lastRenderedPageBreak/>
            <w:t>PREFACE</w:t>
          </w:r>
        </w:p>
      </w:sdtContent>
    </w:sdt>
    <w:p w14:paraId="61871510" w14:textId="3357C9E8" w:rsidR="00BE716B" w:rsidRDefault="00BE716B" w:rsidP="00BE716B">
      <w:pPr>
        <w:spacing w:line="480" w:lineRule="auto"/>
      </w:pPr>
      <w:r>
        <w:tab/>
        <w:t xml:space="preserve"> The following report provides an overview of the </w:t>
      </w:r>
      <w:r w:rsidR="00BD132F">
        <w:t xml:space="preserve">outstanding </w:t>
      </w:r>
      <w:r>
        <w:t>productivity of our small (24 full-time) staff</w:t>
      </w:r>
      <w:r w:rsidR="00AD2BEF">
        <w:t>,</w:t>
      </w:r>
      <w:r>
        <w:t xml:space="preserve"> which has remained approximately the same size for more than 20 years but has seen its workload increase substantially.  The most notable developments during the last year are that we have completed, or significantly advanced, our efforts to </w:t>
      </w:r>
      <w:r w:rsidR="007463D3">
        <w:t xml:space="preserve">(1) </w:t>
      </w:r>
      <w:r>
        <w:t xml:space="preserve">update our rules, </w:t>
      </w:r>
      <w:r w:rsidR="007463D3">
        <w:t xml:space="preserve">(2) </w:t>
      </w:r>
      <w:r>
        <w:t xml:space="preserve">explore the implications of the </w:t>
      </w:r>
      <w:r w:rsidR="008001E3">
        <w:t xml:space="preserve">transformative </w:t>
      </w:r>
      <w:r>
        <w:t>changes that are occurring</w:t>
      </w:r>
      <w:r w:rsidR="007463D3">
        <w:t xml:space="preserve"> </w:t>
      </w:r>
      <w:r>
        <w:t xml:space="preserve">in the areas in which our regulated utilities operate, and </w:t>
      </w:r>
      <w:r w:rsidR="007463D3">
        <w:t xml:space="preserve">(3) </w:t>
      </w:r>
      <w:r>
        <w:t>address the need to include all customers, regardless of their economic status, in the transition to a carbon</w:t>
      </w:r>
      <w:r w:rsidR="007463D3">
        <w:t>-</w:t>
      </w:r>
      <w:r>
        <w:t xml:space="preserve">free energy future. </w:t>
      </w:r>
      <w:bookmarkStart w:id="0" w:name="_Hlk131425722"/>
      <w:r w:rsidR="007463D3">
        <w:t>And we did so while continuing the day-to-day work of evaluating the rates and services of our regulated utilities and processing thousands of applications for the siting of new electric generation facilities.</w:t>
      </w:r>
      <w:r>
        <w:t xml:space="preserve"> </w:t>
      </w:r>
      <w:r w:rsidR="007463D3">
        <w:t xml:space="preserve"> </w:t>
      </w:r>
      <w:bookmarkEnd w:id="0"/>
      <w:r>
        <w:t xml:space="preserve">Next year </w:t>
      </w:r>
      <w:r w:rsidR="00BD132F">
        <w:t xml:space="preserve">we will establish or update several </w:t>
      </w:r>
      <w:r>
        <w:t xml:space="preserve">important rules, such as those governing net-metering, the siting of larger electric facilities, and the regulation of energy storage facilities and operations. </w:t>
      </w:r>
      <w:r w:rsidR="007463D3">
        <w:t xml:space="preserve"> </w:t>
      </w:r>
      <w:r>
        <w:t xml:space="preserve">In addition, important energy policy investigations will continue as we evaluate </w:t>
      </w:r>
      <w:r w:rsidR="00293E19">
        <w:t xml:space="preserve">(1) </w:t>
      </w:r>
      <w:r>
        <w:t>how our utilities are preparing for and participating in the transformation of the energy sector</w:t>
      </w:r>
      <w:r w:rsidR="00293E19">
        <w:t xml:space="preserve"> and (2)</w:t>
      </w:r>
      <w:r>
        <w:t xml:space="preserve"> the impact of economic changes occurring throughout the world on the cost of energy.</w:t>
      </w:r>
    </w:p>
    <w:p w14:paraId="163FEEE4" w14:textId="1E9D0014" w:rsidR="00BE716B" w:rsidRDefault="00BE716B" w:rsidP="00BE716B">
      <w:pPr>
        <w:spacing w:line="480" w:lineRule="auto"/>
      </w:pPr>
      <w:r>
        <w:tab/>
        <w:t xml:space="preserve"> We are all challenged by the impact of global climate change.  The </w:t>
      </w:r>
      <w:r w:rsidR="00BD132F">
        <w:t xml:space="preserve">federal </w:t>
      </w:r>
      <w:r>
        <w:t xml:space="preserve">and </w:t>
      </w:r>
      <w:r w:rsidR="00BD132F">
        <w:t xml:space="preserve">state </w:t>
      </w:r>
      <w:r>
        <w:t xml:space="preserve">governments are providing </w:t>
      </w:r>
      <w:r w:rsidR="00BD132F">
        <w:t xml:space="preserve">significant </w:t>
      </w:r>
      <w:r>
        <w:t xml:space="preserve">resources to </w:t>
      </w:r>
      <w:r w:rsidR="00BD132F">
        <w:t>help Vermont</w:t>
      </w:r>
      <w:r>
        <w:t xml:space="preserve"> achieve </w:t>
      </w:r>
      <w:r w:rsidR="00BD132F">
        <w:t xml:space="preserve">its </w:t>
      </w:r>
      <w:r>
        <w:t xml:space="preserve">ultimate climate goals by 2050 and important milestones </w:t>
      </w:r>
      <w:r w:rsidR="00BD132F">
        <w:t>along the way</w:t>
      </w:r>
      <w:r>
        <w:t>.  The utilities we regulate are also making changes to address these goals.  The Public Utility Commission has a major role to play in evaluating the implementation of changes and protecting the rights and resources of the customers who purchase the energy products we regulate.  As this report illustrates</w:t>
      </w:r>
      <w:r w:rsidR="007463D3">
        <w:t>,</w:t>
      </w:r>
      <w:r>
        <w:t xml:space="preserve"> we are ready, willing, and able to do our part </w:t>
      </w:r>
      <w:r w:rsidR="007463D3">
        <w:t xml:space="preserve">to </w:t>
      </w:r>
      <w:r>
        <w:t xml:space="preserve">enhance the fairness and effectiveness of new initiatives </w:t>
      </w:r>
      <w:r>
        <w:lastRenderedPageBreak/>
        <w:t>and the continued implementation of existing initiatives to provide safe, reliable</w:t>
      </w:r>
      <w:r w:rsidR="00BD132F">
        <w:t>,</w:t>
      </w:r>
      <w:r>
        <w:t xml:space="preserve"> and affordable energy to customers while achieving long-term energy goals for Vermont.  </w:t>
      </w:r>
    </w:p>
    <w:p w14:paraId="176FD360" w14:textId="77777777" w:rsidR="00816810" w:rsidRDefault="00816810" w:rsidP="00E77F31">
      <w:pPr>
        <w:spacing w:before="240" w:line="480" w:lineRule="auto"/>
        <w:jc w:val="center"/>
        <w:rPr>
          <w:b/>
          <w:u w:val="single"/>
        </w:rPr>
      </w:pPr>
      <w:r>
        <w:rPr>
          <w:b/>
          <w:u w:val="single"/>
        </w:rPr>
        <w:t>INTRODUCTION</w:t>
      </w:r>
    </w:p>
    <w:p w14:paraId="521B6384" w14:textId="3A39EA68" w:rsidR="00F524F0" w:rsidRDefault="00292BC6" w:rsidP="00E22D37">
      <w:pPr>
        <w:spacing w:line="480" w:lineRule="auto"/>
        <w:ind w:firstLine="720"/>
      </w:pPr>
      <w:r>
        <w:t xml:space="preserve">The Vermont Public Utility Commission </w:t>
      </w:r>
      <w:r w:rsidR="009C20BE">
        <w:t xml:space="preserve">is an independent, quasi-judicial State agency that </w:t>
      </w:r>
      <w:r w:rsidR="00AC2873">
        <w:t>regulates</w:t>
      </w:r>
      <w:r w:rsidR="00505091">
        <w:t xml:space="preserve"> the siting of Vermont’s electric, natural gas, and </w:t>
      </w:r>
      <w:r w:rsidR="00B5375A">
        <w:t xml:space="preserve">wireless </w:t>
      </w:r>
      <w:r w:rsidR="00505091">
        <w:t xml:space="preserve">telecommunications infrastructure and </w:t>
      </w:r>
      <w:r w:rsidR="00AC2873">
        <w:t>supervises</w:t>
      </w:r>
      <w:r w:rsidR="00505091">
        <w:t xml:space="preserve"> the rates, quality of service, and overall financial management of Vermont’s public utilities </w:t>
      </w:r>
      <w:r>
        <w:t xml:space="preserve">– electric, </w:t>
      </w:r>
      <w:r w:rsidR="002027C6">
        <w:t xml:space="preserve">natural </w:t>
      </w:r>
      <w:r>
        <w:t xml:space="preserve">gas, </w:t>
      </w:r>
      <w:r w:rsidR="00505091">
        <w:t xml:space="preserve">energy efficiency, </w:t>
      </w:r>
      <w:r w:rsidR="00AC2873">
        <w:t xml:space="preserve">wireless </w:t>
      </w:r>
      <w:r>
        <w:t xml:space="preserve">telecommunications, </w:t>
      </w:r>
      <w:r w:rsidR="00213E21">
        <w:t xml:space="preserve">certain </w:t>
      </w:r>
      <w:r>
        <w:t xml:space="preserve">water </w:t>
      </w:r>
      <w:r w:rsidR="00C7156D">
        <w:t>companies</w:t>
      </w:r>
      <w:r w:rsidR="00505091">
        <w:t>, and cable television (terms of service only, not rates).</w:t>
      </w:r>
      <w:r w:rsidR="00C7156D">
        <w:t xml:space="preserve"> </w:t>
      </w:r>
      <w:r w:rsidR="009E2CCC">
        <w:t>We do so</w:t>
      </w:r>
      <w:r w:rsidR="00C7156D">
        <w:t xml:space="preserve"> in the context of numerous statutes, both </w:t>
      </w:r>
      <w:r w:rsidR="008001E3">
        <w:t xml:space="preserve">state </w:t>
      </w:r>
      <w:r w:rsidR="00C7156D">
        <w:t xml:space="preserve">and </w:t>
      </w:r>
      <w:r w:rsidR="00BD132F">
        <w:t>federal</w:t>
      </w:r>
      <w:r w:rsidR="00C7156D">
        <w:t xml:space="preserve">, </w:t>
      </w:r>
      <w:r w:rsidR="00E935BE">
        <w:t xml:space="preserve">to </w:t>
      </w:r>
      <w:r w:rsidR="009F1380">
        <w:t>reach fair and</w:t>
      </w:r>
      <w:r w:rsidR="00B93C46">
        <w:t xml:space="preserve"> </w:t>
      </w:r>
      <w:r w:rsidR="009F1380">
        <w:t xml:space="preserve">independent judgments based on the facts presented to us by parties to our contested cases and </w:t>
      </w:r>
      <w:r w:rsidR="00AC2873">
        <w:t xml:space="preserve">on the </w:t>
      </w:r>
      <w:r w:rsidR="00EC72AD">
        <w:t xml:space="preserve">facts and analyses presented to us by </w:t>
      </w:r>
      <w:r w:rsidR="009F1380">
        <w:t>stakeholders who participate in our many workshops and investigations or communicate with us b</w:t>
      </w:r>
      <w:r w:rsidR="00D433DD">
        <w:t xml:space="preserve">y public comment. Much of </w:t>
      </w:r>
      <w:r w:rsidR="004778B3">
        <w:t>t</w:t>
      </w:r>
      <w:r w:rsidR="00D433DD">
        <w:t xml:space="preserve">his </w:t>
      </w:r>
      <w:r w:rsidR="004778B3">
        <w:t xml:space="preserve">stakeholder and public </w:t>
      </w:r>
      <w:r w:rsidR="00D433DD">
        <w:t>input</w:t>
      </w:r>
      <w:r w:rsidR="007D3506">
        <w:t>,</w:t>
      </w:r>
      <w:r w:rsidR="00D433DD">
        <w:t xml:space="preserve"> received outside the contested</w:t>
      </w:r>
      <w:r w:rsidR="00E935BE">
        <w:t>-</w:t>
      </w:r>
      <w:r w:rsidR="00D433DD">
        <w:t>case context</w:t>
      </w:r>
      <w:r w:rsidR="007D3506">
        <w:t>,</w:t>
      </w:r>
      <w:r w:rsidR="00D433DD">
        <w:t xml:space="preserve"> provides</w:t>
      </w:r>
      <w:r w:rsidR="004778B3">
        <w:t xml:space="preserve"> the information we analyze </w:t>
      </w:r>
      <w:r w:rsidR="001356C8">
        <w:t>for</w:t>
      </w:r>
      <w:r w:rsidR="004778B3">
        <w:t xml:space="preserve"> </w:t>
      </w:r>
      <w:r w:rsidR="00280D8C">
        <w:t>rulemaking</w:t>
      </w:r>
      <w:r w:rsidR="00E4735B">
        <w:t>s</w:t>
      </w:r>
      <w:r w:rsidR="00280D8C">
        <w:t xml:space="preserve"> as we implement policy directives at the request of the Legislature, and for the </w:t>
      </w:r>
      <w:r w:rsidR="004778B3">
        <w:t>reports we issue on a wide range of topics</w:t>
      </w:r>
      <w:r w:rsidR="00153FF7">
        <w:t>.</w:t>
      </w:r>
      <w:r w:rsidR="004778B3">
        <w:t xml:space="preserve"> </w:t>
      </w:r>
    </w:p>
    <w:p w14:paraId="56AEDB41" w14:textId="0D1E3C09" w:rsidR="001356C8" w:rsidRDefault="00F928D4" w:rsidP="00E77F31">
      <w:pPr>
        <w:spacing w:before="240" w:line="480" w:lineRule="auto"/>
        <w:jc w:val="center"/>
        <w:rPr>
          <w:b/>
          <w:u w:val="single"/>
        </w:rPr>
      </w:pPr>
      <w:r>
        <w:rPr>
          <w:b/>
          <w:u w:val="single"/>
        </w:rPr>
        <w:t>OUR WORK</w:t>
      </w:r>
    </w:p>
    <w:p w14:paraId="683C3C99" w14:textId="348FEE25" w:rsidR="00CA420C" w:rsidRDefault="001356C8" w:rsidP="00B5375A">
      <w:pPr>
        <w:spacing w:line="480" w:lineRule="auto"/>
        <w:ind w:firstLine="720"/>
      </w:pPr>
      <w:r>
        <w:t xml:space="preserve">The nature of the Commission’s work has changed dramatically over the past 15 years. </w:t>
      </w:r>
      <w:r w:rsidR="00CA420C">
        <w:t xml:space="preserve">Previously, </w:t>
      </w:r>
      <w:r w:rsidR="009C20BE">
        <w:t xml:space="preserve">we spent </w:t>
      </w:r>
      <w:r w:rsidR="00CA420C">
        <w:t xml:space="preserve">the bulk of our time on economic regulation, such as </w:t>
      </w:r>
      <w:r w:rsidR="00F4758E">
        <w:t xml:space="preserve">utility </w:t>
      </w:r>
      <w:r w:rsidR="00CA420C">
        <w:t xml:space="preserve">rate-setting. In the past 15 years, </w:t>
      </w:r>
      <w:r w:rsidR="00B5375A">
        <w:t>infrastructure siting</w:t>
      </w:r>
      <w:r w:rsidR="00CA420C">
        <w:t xml:space="preserve"> cases have grown from 10% of our workload to </w:t>
      </w:r>
      <w:r w:rsidR="00A964CB">
        <w:t>more than 50</w:t>
      </w:r>
      <w:r w:rsidR="00CA420C">
        <w:t xml:space="preserve">%. </w:t>
      </w:r>
      <w:r w:rsidR="009C20BE">
        <w:t>Siting applications for w</w:t>
      </w:r>
      <w:r w:rsidR="00B5375A">
        <w:t>ireless t</w:t>
      </w:r>
      <w:r w:rsidR="00CA420C">
        <w:t xml:space="preserve">elecommunications </w:t>
      </w:r>
      <w:r w:rsidR="009C20BE">
        <w:t>infrastructure</w:t>
      </w:r>
      <w:r w:rsidR="00CA420C">
        <w:t xml:space="preserve"> are now more than </w:t>
      </w:r>
      <w:r w:rsidR="00DA47B0">
        <w:t>1</w:t>
      </w:r>
      <w:r w:rsidR="00167245">
        <w:t>3</w:t>
      </w:r>
      <w:r w:rsidR="00DA47B0">
        <w:t>0</w:t>
      </w:r>
      <w:r w:rsidR="00CA420C">
        <w:t xml:space="preserve"> per year. Net-metering applications have grown from only 20 in 2001 to more than </w:t>
      </w:r>
      <w:r w:rsidR="00167245">
        <w:t>2,900</w:t>
      </w:r>
      <w:r w:rsidR="00CA420C">
        <w:t xml:space="preserve"> in 20</w:t>
      </w:r>
      <w:r w:rsidR="00213E21">
        <w:t>2</w:t>
      </w:r>
      <w:r w:rsidR="00167245">
        <w:t>2</w:t>
      </w:r>
      <w:r w:rsidR="00CA420C">
        <w:t xml:space="preserve"> alone. </w:t>
      </w:r>
      <w:r w:rsidR="00CE2181">
        <w:t xml:space="preserve">We have issued </w:t>
      </w:r>
      <w:r w:rsidR="00B80A12">
        <w:t xml:space="preserve">more than </w:t>
      </w:r>
      <w:r w:rsidR="0003280F">
        <w:t>2</w:t>
      </w:r>
      <w:r w:rsidR="005A7000">
        <w:t>3</w:t>
      </w:r>
      <w:r w:rsidR="00CE2181">
        <w:t xml:space="preserve">,000 </w:t>
      </w:r>
      <w:r w:rsidR="00B80A12">
        <w:t xml:space="preserve">certificates of public good (“CPGs”) </w:t>
      </w:r>
      <w:r w:rsidR="0035338A">
        <w:t xml:space="preserve">for net-metering </w:t>
      </w:r>
      <w:r w:rsidR="000538D5">
        <w:t xml:space="preserve">projects </w:t>
      </w:r>
      <w:r w:rsidR="0035338A">
        <w:t>in the last 2</w:t>
      </w:r>
      <w:r w:rsidR="00167245">
        <w:t>2</w:t>
      </w:r>
      <w:r w:rsidR="0035338A">
        <w:t xml:space="preserve"> years. </w:t>
      </w:r>
      <w:r w:rsidR="00DA47B0">
        <w:t xml:space="preserve">In addition, </w:t>
      </w:r>
      <w:r w:rsidR="00F77F88">
        <w:t>2</w:t>
      </w:r>
      <w:r w:rsidR="00167245">
        <w:t>2</w:t>
      </w:r>
      <w:r w:rsidR="00F77F88">
        <w:t xml:space="preserve"> years ago </w:t>
      </w:r>
      <w:r w:rsidR="00DA47B0">
        <w:t xml:space="preserve">we started regulating energy efficiency </w:t>
      </w:r>
      <w:r w:rsidR="00DA47B0">
        <w:lastRenderedPageBreak/>
        <w:t xml:space="preserve">utilities, including </w:t>
      </w:r>
      <w:r w:rsidR="00F77F88">
        <w:t xml:space="preserve">their </w:t>
      </w:r>
      <w:r w:rsidR="00A964CB">
        <w:t>budgets, efficiency services, and performance goals.</w:t>
      </w:r>
      <w:r w:rsidR="001E5E2D">
        <w:t xml:space="preserve"> </w:t>
      </w:r>
      <w:r w:rsidR="00C93B65">
        <w:t>Several</w:t>
      </w:r>
      <w:r w:rsidR="001E5E2D">
        <w:t xml:space="preserve"> years ago, Vermont Gas Systems</w:t>
      </w:r>
      <w:r w:rsidR="00FD7057">
        <w:t>, Inc. (“VGS”)</w:t>
      </w:r>
      <w:r w:rsidR="001E5E2D">
        <w:t xml:space="preserve"> joined the two electric efficiency utilities as a separate energy efficiency utility that is also subject to our regulation.</w:t>
      </w:r>
    </w:p>
    <w:p w14:paraId="74FB4AC2" w14:textId="3B619B9E" w:rsidR="00CA420C" w:rsidRDefault="00CA420C" w:rsidP="00292BC6">
      <w:pPr>
        <w:spacing w:line="480" w:lineRule="auto"/>
      </w:pPr>
      <w:r>
        <w:tab/>
        <w:t xml:space="preserve">There is also far more citizen participation in Commission cases today than there </w:t>
      </w:r>
      <w:r w:rsidR="00B5375A">
        <w:t>was</w:t>
      </w:r>
      <w:r>
        <w:t xml:space="preserve"> 15 years ago. Then, most citizen participation came through public comments and public hearings</w:t>
      </w:r>
      <w:r w:rsidR="001E5E2D">
        <w:t xml:space="preserve"> </w:t>
      </w:r>
      <w:r w:rsidR="001E5E2D" w:rsidRPr="00A77C9E">
        <w:t>on broad issues such as rate cases. Complaints</w:t>
      </w:r>
      <w:r>
        <w:t xml:space="preserve"> were very rare except </w:t>
      </w:r>
      <w:r w:rsidR="00DA47B0">
        <w:t xml:space="preserve">for </w:t>
      </w:r>
      <w:r>
        <w:t xml:space="preserve">consumer complaints against utilities. Today, many citizens seek to participate as parties in </w:t>
      </w:r>
      <w:r w:rsidR="00F31D13">
        <w:t>local</w:t>
      </w:r>
      <w:r>
        <w:t xml:space="preserve"> siting cases and </w:t>
      </w:r>
      <w:r w:rsidRPr="001B10C5">
        <w:t xml:space="preserve">file more complaints alleging </w:t>
      </w:r>
      <w:r w:rsidR="009C20BE" w:rsidRPr="001B10C5">
        <w:t xml:space="preserve">violations of </w:t>
      </w:r>
      <w:r w:rsidR="00B80A12" w:rsidRPr="001B10C5">
        <w:t>CPGs</w:t>
      </w:r>
      <w:r>
        <w:t>.</w:t>
      </w:r>
    </w:p>
    <w:p w14:paraId="56E08A8E" w14:textId="2A9BC77A" w:rsidR="003D1B93" w:rsidRDefault="00CA420C" w:rsidP="00292BC6">
      <w:pPr>
        <w:spacing w:line="480" w:lineRule="auto"/>
      </w:pPr>
      <w:r>
        <w:tab/>
      </w:r>
      <w:r w:rsidR="00823166" w:rsidRPr="003F2274">
        <w:t>In 20</w:t>
      </w:r>
      <w:r w:rsidR="00B27118" w:rsidRPr="003F2274">
        <w:t>2</w:t>
      </w:r>
      <w:r w:rsidR="003F2274" w:rsidRPr="00845AD3">
        <w:t>2</w:t>
      </w:r>
      <w:r w:rsidR="00823166" w:rsidRPr="003F2274">
        <w:t xml:space="preserve">, </w:t>
      </w:r>
      <w:r w:rsidR="001356C8" w:rsidRPr="003F2274">
        <w:t xml:space="preserve">more than </w:t>
      </w:r>
      <w:r w:rsidR="00F5775E" w:rsidRPr="003F2274">
        <w:t>4,</w:t>
      </w:r>
      <w:r w:rsidR="005A7000" w:rsidRPr="00845AD3">
        <w:t>6</w:t>
      </w:r>
      <w:r w:rsidR="00F5775E" w:rsidRPr="003F2274">
        <w:t>00</w:t>
      </w:r>
      <w:r w:rsidR="00095337" w:rsidRPr="003F2274">
        <w:t xml:space="preserve"> </w:t>
      </w:r>
      <w:r w:rsidR="001356C8" w:rsidRPr="003F2274">
        <w:t>new cases were filed with the Commission, including</w:t>
      </w:r>
      <w:r w:rsidR="00D764C8" w:rsidRPr="003F2274">
        <w:t xml:space="preserve"> utility rate cases, large siting projects, and</w:t>
      </w:r>
      <w:r w:rsidR="001356C8" w:rsidRPr="003F2274">
        <w:t xml:space="preserve"> more than </w:t>
      </w:r>
      <w:r w:rsidR="005A7000" w:rsidRPr="00845AD3">
        <w:t>2,9</w:t>
      </w:r>
      <w:r w:rsidR="00B27118" w:rsidRPr="003F2274">
        <w:t>00</w:t>
      </w:r>
      <w:r w:rsidR="001356C8" w:rsidRPr="003F2274">
        <w:t xml:space="preserve"> net-metering registration cases. During this same period, more than </w:t>
      </w:r>
      <w:r w:rsidR="00604895" w:rsidRPr="003F2274">
        <w:t>4,</w:t>
      </w:r>
      <w:r w:rsidR="007C77B7" w:rsidRPr="00845AD3">
        <w:t>6</w:t>
      </w:r>
      <w:r w:rsidR="00604895" w:rsidRPr="003F2274">
        <w:t>00</w:t>
      </w:r>
      <w:r w:rsidR="001356C8" w:rsidRPr="003F2274">
        <w:t xml:space="preserve"> cases were </w:t>
      </w:r>
      <w:r w:rsidRPr="003F2274">
        <w:t xml:space="preserve">closed (completed) </w:t>
      </w:r>
      <w:r w:rsidR="001356C8" w:rsidRPr="003F2274">
        <w:t xml:space="preserve">by the Commission </w:t>
      </w:r>
      <w:r w:rsidR="00B5375A" w:rsidRPr="003F2274">
        <w:t xml:space="preserve">(including </w:t>
      </w:r>
      <w:r w:rsidR="001356C8" w:rsidRPr="003F2274">
        <w:t xml:space="preserve">more than </w:t>
      </w:r>
      <w:r w:rsidR="001A3540" w:rsidRPr="003F2274">
        <w:t>2</w:t>
      </w:r>
      <w:r w:rsidR="004F2D06" w:rsidRPr="003F2274">
        <w:t>0</w:t>
      </w:r>
      <w:r w:rsidR="001A3540" w:rsidRPr="003F2274">
        <w:t xml:space="preserve"> </w:t>
      </w:r>
      <w:r w:rsidR="001356C8" w:rsidRPr="003F2274">
        <w:t xml:space="preserve">cases </w:t>
      </w:r>
      <w:r w:rsidR="00B5375A" w:rsidRPr="003F2274">
        <w:t xml:space="preserve">that </w:t>
      </w:r>
      <w:r w:rsidR="001356C8" w:rsidRPr="003F2274">
        <w:t>were closed except for their compliance filing requirements</w:t>
      </w:r>
      <w:r w:rsidR="00B5375A" w:rsidRPr="003F2274">
        <w:t>)</w:t>
      </w:r>
      <w:r w:rsidR="001356C8" w:rsidRPr="003F2274">
        <w:t xml:space="preserve">. In addition, the Commission received more than </w:t>
      </w:r>
      <w:r w:rsidR="004F2D06" w:rsidRPr="00845AD3">
        <w:t>85</w:t>
      </w:r>
      <w:r w:rsidR="004F2D06" w:rsidRPr="003F2274">
        <w:t xml:space="preserve"> </w:t>
      </w:r>
      <w:r w:rsidR="001356C8" w:rsidRPr="003F2274">
        <w:t xml:space="preserve">“advance notice” filings of proposed siting projects </w:t>
      </w:r>
      <w:r w:rsidR="00095337" w:rsidRPr="003F2274">
        <w:t xml:space="preserve">and </w:t>
      </w:r>
      <w:r w:rsidR="001356C8" w:rsidRPr="003F2274">
        <w:t xml:space="preserve">more than </w:t>
      </w:r>
      <w:r w:rsidR="003F2274" w:rsidRPr="003F2274">
        <w:t>6</w:t>
      </w:r>
      <w:r w:rsidR="003F2274" w:rsidRPr="00845AD3">
        <w:t>90</w:t>
      </w:r>
      <w:r w:rsidR="003F2274" w:rsidRPr="003F2274">
        <w:t xml:space="preserve"> </w:t>
      </w:r>
      <w:r w:rsidR="001356C8" w:rsidRPr="003F2274">
        <w:t>reports.</w:t>
      </w:r>
      <w:r w:rsidR="00E4735B" w:rsidRPr="003F2274">
        <w:t xml:space="preserve"> </w:t>
      </w:r>
      <w:r w:rsidR="001356C8" w:rsidRPr="003F2274">
        <w:t>During 20</w:t>
      </w:r>
      <w:r w:rsidR="00B27118" w:rsidRPr="003F2274">
        <w:t>2</w:t>
      </w:r>
      <w:r w:rsidR="003F2274" w:rsidRPr="00845AD3">
        <w:t>2</w:t>
      </w:r>
      <w:r w:rsidR="001356C8" w:rsidRPr="003F2274">
        <w:t xml:space="preserve"> the Commission </w:t>
      </w:r>
      <w:r w:rsidR="00095337" w:rsidRPr="003F2274">
        <w:t xml:space="preserve">issued </w:t>
      </w:r>
      <w:r w:rsidR="001356C8" w:rsidRPr="003F2274">
        <w:t xml:space="preserve">more than </w:t>
      </w:r>
      <w:r w:rsidR="003F2274" w:rsidRPr="00845AD3">
        <w:t>2,180</w:t>
      </w:r>
      <w:r w:rsidR="001356C8" w:rsidRPr="003F2274">
        <w:t xml:space="preserve"> </w:t>
      </w:r>
      <w:r w:rsidR="008001E3">
        <w:t>o</w:t>
      </w:r>
      <w:r w:rsidR="008001E3" w:rsidRPr="003F2274">
        <w:t xml:space="preserve">rders </w:t>
      </w:r>
      <w:r w:rsidR="001356C8" w:rsidRPr="003F2274">
        <w:t xml:space="preserve">and </w:t>
      </w:r>
      <w:r w:rsidR="009C20BE" w:rsidRPr="003F2274">
        <w:t>CPGs</w:t>
      </w:r>
      <w:r w:rsidR="00495695" w:rsidRPr="003F2274">
        <w:t xml:space="preserve"> </w:t>
      </w:r>
      <w:r w:rsidR="003417D9" w:rsidRPr="003F2274">
        <w:t xml:space="preserve">for </w:t>
      </w:r>
      <w:r w:rsidR="00495695" w:rsidRPr="003F2274">
        <w:t>proposed projects</w:t>
      </w:r>
      <w:r w:rsidR="00CF0561" w:rsidRPr="003F2274">
        <w:t xml:space="preserve">, including </w:t>
      </w:r>
      <w:r w:rsidR="003F2274" w:rsidRPr="00845AD3">
        <w:t>128</w:t>
      </w:r>
      <w:r w:rsidR="003F2274" w:rsidRPr="003F2274">
        <w:t xml:space="preserve"> </w:t>
      </w:r>
      <w:r w:rsidR="00CF0561" w:rsidRPr="003F2274">
        <w:t xml:space="preserve">CPGs for wireless telecommunications facilities, </w:t>
      </w:r>
      <w:r w:rsidR="003F2274" w:rsidRPr="00845AD3">
        <w:t>44</w:t>
      </w:r>
      <w:r w:rsidR="003F2274" w:rsidRPr="003F2274">
        <w:t xml:space="preserve"> </w:t>
      </w:r>
      <w:r w:rsidR="007C134D" w:rsidRPr="003F2274">
        <w:t xml:space="preserve">CPGs for larger net-metering projects, and </w:t>
      </w:r>
      <w:r w:rsidR="003F2274" w:rsidRPr="00845AD3">
        <w:t>25</w:t>
      </w:r>
      <w:r w:rsidR="003F2274" w:rsidRPr="003F2274">
        <w:t xml:space="preserve"> </w:t>
      </w:r>
      <w:r w:rsidR="007C134D" w:rsidRPr="003F2274">
        <w:t xml:space="preserve">CPGs for </w:t>
      </w:r>
      <w:r w:rsidR="00CB2F83" w:rsidRPr="003F2274">
        <w:t>other electric generation or transmission projects</w:t>
      </w:r>
      <w:r w:rsidR="00495695" w:rsidRPr="003F2274">
        <w:t>.</w:t>
      </w:r>
      <w:r w:rsidR="00E77F31" w:rsidRPr="003F2274">
        <w:t xml:space="preserve"> </w:t>
      </w:r>
      <w:r w:rsidR="003C093D" w:rsidRPr="003F2274">
        <w:t xml:space="preserve">In addition, more than </w:t>
      </w:r>
      <w:r w:rsidR="00C059A5" w:rsidRPr="003F2274">
        <w:t>3,1</w:t>
      </w:r>
      <w:r w:rsidR="003F2274">
        <w:t>5</w:t>
      </w:r>
      <w:r w:rsidR="00C059A5" w:rsidRPr="003F2274">
        <w:t>0 net-metering registration CPGs were deemed issued.</w:t>
      </w:r>
    </w:p>
    <w:p w14:paraId="6D2D82F3" w14:textId="51DBBC6E" w:rsidR="00B80A12" w:rsidRDefault="002027C6" w:rsidP="006D0DE5">
      <w:pPr>
        <w:spacing w:line="480" w:lineRule="auto"/>
      </w:pPr>
      <w:r>
        <w:tab/>
      </w:r>
      <w:bookmarkStart w:id="1" w:name="_Hlk63418524"/>
      <w:r w:rsidRPr="006D0DE5">
        <w:t>As noted above, the Commission regulates a range of utility industries</w:t>
      </w:r>
      <w:r w:rsidR="006D0DE5">
        <w:t xml:space="preserve">, including </w:t>
      </w:r>
      <w:r w:rsidR="006D0DE5" w:rsidRPr="006D0DE5">
        <w:t>e</w:t>
      </w:r>
      <w:r w:rsidR="006D0DE5">
        <w:t xml:space="preserve">lectric, natural gas, energy efficiency, and wireless telecommunications. However, the </w:t>
      </w:r>
      <w:r w:rsidRPr="006D0DE5">
        <w:t xml:space="preserve">largest portion of our work is related to the electric industry, where fundamental changes </w:t>
      </w:r>
      <w:r w:rsidR="006D0DE5" w:rsidRPr="006D0DE5">
        <w:t xml:space="preserve">have taken place </w:t>
      </w:r>
      <w:r w:rsidRPr="006D0DE5">
        <w:t>during the past 10-15 years</w:t>
      </w:r>
      <w:r w:rsidR="006D0DE5" w:rsidRPr="006D0DE5">
        <w:t>.</w:t>
      </w:r>
      <w:r w:rsidR="006D0DE5">
        <w:t xml:space="preserve"> During that time, </w:t>
      </w:r>
      <w:r w:rsidR="000E05A8">
        <w:t xml:space="preserve">driven by </w:t>
      </w:r>
      <w:r w:rsidR="00B80A12">
        <w:t xml:space="preserve">State </w:t>
      </w:r>
      <w:r w:rsidR="000E05A8">
        <w:t>renewable energy and carbon</w:t>
      </w:r>
      <w:r w:rsidR="00B80A12">
        <w:t>-</w:t>
      </w:r>
      <w:r w:rsidR="000E05A8">
        <w:t xml:space="preserve">reduction mandates, a significant portion of </w:t>
      </w:r>
      <w:r w:rsidR="006D0DE5">
        <w:t xml:space="preserve">our supply of electricity has moved from </w:t>
      </w:r>
      <w:r w:rsidR="00D764C8">
        <w:t xml:space="preserve">large, multi-megawatt baseload generators (often outside a utility’s service territory) </w:t>
      </w:r>
      <w:r w:rsidR="00F4758E">
        <w:t xml:space="preserve">to thousands of </w:t>
      </w:r>
      <w:r w:rsidR="000E05A8">
        <w:lastRenderedPageBreak/>
        <w:t xml:space="preserve">distributed </w:t>
      </w:r>
      <w:r w:rsidR="00D764C8">
        <w:t xml:space="preserve">renewable, intermittent </w:t>
      </w:r>
      <w:r w:rsidR="00F4758E">
        <w:t xml:space="preserve">generators </w:t>
      </w:r>
      <w:r w:rsidR="000E05A8">
        <w:t>located near the end user of the electricity</w:t>
      </w:r>
      <w:r w:rsidR="004966E6">
        <w:t xml:space="preserve">. </w:t>
      </w:r>
      <w:r w:rsidR="000E05A8">
        <w:t xml:space="preserve">In addition, during this time, </w:t>
      </w:r>
      <w:r w:rsidR="00B80A12">
        <w:t xml:space="preserve">State </w:t>
      </w:r>
      <w:r w:rsidR="000E05A8">
        <w:t xml:space="preserve">standards have included aggressive energy efficiency programs that have </w:t>
      </w:r>
      <w:r w:rsidR="000E05A8" w:rsidRPr="001B10C5">
        <w:t>reduced</w:t>
      </w:r>
      <w:r w:rsidR="000E05A8">
        <w:t xml:space="preserve"> the amount of electricity </w:t>
      </w:r>
      <w:r w:rsidR="00F959FD">
        <w:t xml:space="preserve">that would otherwise have been </w:t>
      </w:r>
      <w:r w:rsidR="000E05A8">
        <w:t xml:space="preserve">used by consumers. </w:t>
      </w:r>
    </w:p>
    <w:p w14:paraId="7F304B84" w14:textId="6D0B3458" w:rsidR="003224A2" w:rsidRDefault="000E05A8" w:rsidP="00E819A4">
      <w:pPr>
        <w:spacing w:line="480" w:lineRule="auto"/>
        <w:ind w:firstLine="720"/>
      </w:pPr>
      <w:r>
        <w:t xml:space="preserve">These </w:t>
      </w:r>
      <w:r w:rsidR="004966E6">
        <w:t>State requirements have also added a layer of complexity</w:t>
      </w:r>
      <w:r>
        <w:t xml:space="preserve"> to utility planning efforts</w:t>
      </w:r>
      <w:r w:rsidR="004966E6">
        <w:t xml:space="preserve"> </w:t>
      </w:r>
      <w:r w:rsidR="00F4758E">
        <w:t>–</w:t>
      </w:r>
      <w:r w:rsidR="004966E6">
        <w:t xml:space="preserve"> i</w:t>
      </w:r>
      <w:r w:rsidR="00F4758E">
        <w:t>n add</w:t>
      </w:r>
      <w:r w:rsidR="004966E6">
        <w:t xml:space="preserve">ition to delivering </w:t>
      </w:r>
      <w:r w:rsidR="00A964CB">
        <w:t xml:space="preserve">safe, </w:t>
      </w:r>
      <w:r w:rsidR="004966E6">
        <w:t xml:space="preserve">reliable, </w:t>
      </w:r>
      <w:r w:rsidR="00F4758E">
        <w:t>least-cost</w:t>
      </w:r>
      <w:r w:rsidR="004966E6">
        <w:t xml:space="preserve"> energy, </w:t>
      </w:r>
      <w:r w:rsidR="00DA47B0">
        <w:t xml:space="preserve">electric </w:t>
      </w:r>
      <w:r w:rsidR="004966E6">
        <w:t xml:space="preserve">utilities must </w:t>
      </w:r>
      <w:r w:rsidR="00F4758E">
        <w:t>meet State mandates for renewability and</w:t>
      </w:r>
      <w:r w:rsidR="006D4421">
        <w:t xml:space="preserve"> for </w:t>
      </w:r>
      <w:r w:rsidR="00F4758E">
        <w:t xml:space="preserve">reductions in the amount of carbon being released by </w:t>
      </w:r>
      <w:r w:rsidR="00C544E9">
        <w:t xml:space="preserve">their electric customers’ </w:t>
      </w:r>
      <w:r w:rsidR="00F4758E">
        <w:t>use of conventional fossil fuels for heating, manufacturing, and transportation</w:t>
      </w:r>
      <w:r w:rsidR="00002567">
        <w:t xml:space="preserve">. </w:t>
      </w:r>
      <w:r w:rsidR="00C544E9">
        <w:t>Further, Vermont is part of the New England grid</w:t>
      </w:r>
      <w:r w:rsidR="00B80A12">
        <w:t>, which</w:t>
      </w:r>
      <w:r w:rsidR="00C544E9">
        <w:t xml:space="preserve"> is undergoing or has undergone the same transformations toward energy efficiency, renewable and distributed generation, and electrification of the heating and transportation sectors. </w:t>
      </w:r>
      <w:r w:rsidR="000D29DD">
        <w:t xml:space="preserve">For </w:t>
      </w:r>
      <w:r w:rsidR="00C544E9">
        <w:t xml:space="preserve">buyers and sellers of electricity in the New England system, these transformations add another layer of complexity </w:t>
      </w:r>
      <w:r w:rsidR="000109CB">
        <w:t xml:space="preserve">in </w:t>
      </w:r>
      <w:r w:rsidR="00C544E9">
        <w:t>Vermont utility planning.</w:t>
      </w:r>
      <w:r w:rsidR="00E77F31">
        <w:t xml:space="preserve"> </w:t>
      </w:r>
    </w:p>
    <w:p w14:paraId="7ACDF04D" w14:textId="35406D4F" w:rsidR="0066352C" w:rsidRDefault="00F4758E" w:rsidP="003D1B93">
      <w:pPr>
        <w:spacing w:line="480" w:lineRule="auto"/>
        <w:ind w:firstLine="720"/>
      </w:pPr>
      <w:r>
        <w:t>Such</w:t>
      </w:r>
      <w:r w:rsidR="00002567">
        <w:t xml:space="preserve"> changes have </w:t>
      </w:r>
      <w:r w:rsidR="00DB62F6">
        <w:t xml:space="preserve">also </w:t>
      </w:r>
      <w:r w:rsidR="00002567">
        <w:t xml:space="preserve">increased the importance and complexity of the Integrated Resource Plans that each </w:t>
      </w:r>
      <w:r w:rsidR="00DA47B0">
        <w:t xml:space="preserve">electric </w:t>
      </w:r>
      <w:r w:rsidR="00002567">
        <w:t xml:space="preserve">utility is required to file every three years and </w:t>
      </w:r>
      <w:r w:rsidR="006D4421">
        <w:t xml:space="preserve">that </w:t>
      </w:r>
      <w:r>
        <w:t>are</w:t>
      </w:r>
      <w:r w:rsidR="00002567">
        <w:t xml:space="preserve"> subject to </w:t>
      </w:r>
      <w:r w:rsidR="00A964CB">
        <w:t>review</w:t>
      </w:r>
      <w:r w:rsidR="00002567">
        <w:t xml:space="preserve"> by the Commission and </w:t>
      </w:r>
      <w:r>
        <w:t>the Department of Public Service</w:t>
      </w:r>
      <w:r w:rsidR="00002567">
        <w:t xml:space="preserve">. </w:t>
      </w:r>
      <w:r w:rsidR="00DB62F6">
        <w:t xml:space="preserve">Now these plans </w:t>
      </w:r>
      <w:r w:rsidR="00843F11">
        <w:t>must</w:t>
      </w:r>
      <w:r w:rsidR="00DB62F6">
        <w:t xml:space="preserve"> address how the utilities plan to </w:t>
      </w:r>
      <w:r w:rsidR="00843F11">
        <w:t>handle</w:t>
      </w:r>
      <w:r w:rsidR="00DB62F6">
        <w:t xml:space="preserve"> the </w:t>
      </w:r>
      <w:r w:rsidR="008001E3">
        <w:t xml:space="preserve">eventual </w:t>
      </w:r>
      <w:r w:rsidR="00DB62F6">
        <w:t xml:space="preserve">substantial </w:t>
      </w:r>
      <w:r w:rsidR="00843F11">
        <w:t>increase in electrification</w:t>
      </w:r>
      <w:r w:rsidR="000A383F">
        <w:t xml:space="preserve"> – more people </w:t>
      </w:r>
      <w:r w:rsidR="00843F11">
        <w:t>charging</w:t>
      </w:r>
      <w:r w:rsidR="000A383F">
        <w:t xml:space="preserve"> electric vehicles, </w:t>
      </w:r>
      <w:r w:rsidR="00843F11">
        <w:t xml:space="preserve">more buildings with </w:t>
      </w:r>
      <w:r w:rsidR="000A383F">
        <w:t>cold</w:t>
      </w:r>
      <w:r w:rsidR="00843F11">
        <w:t>-climate</w:t>
      </w:r>
      <w:r w:rsidR="000A383F">
        <w:t xml:space="preserve"> heat pumps and </w:t>
      </w:r>
      <w:r w:rsidR="00843F11">
        <w:t>air-source water heaters</w:t>
      </w:r>
      <w:r w:rsidR="000A383F">
        <w:t xml:space="preserve"> </w:t>
      </w:r>
      <w:r w:rsidR="009C246B">
        <w:t>–</w:t>
      </w:r>
      <w:r w:rsidR="000A383F">
        <w:t xml:space="preserve"> </w:t>
      </w:r>
      <w:r w:rsidR="009C246B">
        <w:t xml:space="preserve">and </w:t>
      </w:r>
      <w:r w:rsidR="00843F11">
        <w:t xml:space="preserve">how to manage </w:t>
      </w:r>
      <w:r w:rsidR="009C246B">
        <w:t>the electricity being generated by widely dis</w:t>
      </w:r>
      <w:r w:rsidR="00843F11">
        <w:t>per</w:t>
      </w:r>
      <w:r w:rsidR="009C246B">
        <w:t>sed energy sources that provide intermittent</w:t>
      </w:r>
      <w:r w:rsidR="00A964CB">
        <w:t xml:space="preserve"> </w:t>
      </w:r>
      <w:r w:rsidR="009C246B">
        <w:t>energy output</w:t>
      </w:r>
      <w:bookmarkEnd w:id="1"/>
      <w:r w:rsidR="009C246B">
        <w:t>.</w:t>
      </w:r>
      <w:r w:rsidR="00E77F31">
        <w:t xml:space="preserve"> </w:t>
      </w:r>
    </w:p>
    <w:p w14:paraId="4988A2CC" w14:textId="519C8AB8" w:rsidR="00D947F0" w:rsidRDefault="00B5442A" w:rsidP="003D1B93">
      <w:pPr>
        <w:spacing w:line="480" w:lineRule="auto"/>
        <w:ind w:firstLine="720"/>
      </w:pPr>
      <w:r>
        <w:t>While we continue to review rate proposals, the Legislature</w:t>
      </w:r>
      <w:r w:rsidR="00C249E6">
        <w:t>’</w:t>
      </w:r>
      <w:r>
        <w:t xml:space="preserve">s </w:t>
      </w:r>
      <w:r w:rsidRPr="00795613">
        <w:t>authorization</w:t>
      </w:r>
      <w:r>
        <w:t xml:space="preserve"> of “alternative rate regulation” </w:t>
      </w:r>
      <w:r w:rsidR="009865F0">
        <w:t xml:space="preserve">in </w:t>
      </w:r>
      <w:r w:rsidR="00F753C7">
        <w:t>2003</w:t>
      </w:r>
      <w:r w:rsidR="009865F0">
        <w:t xml:space="preserve"> </w:t>
      </w:r>
      <w:r>
        <w:t xml:space="preserve">has reduced both the size and frequency of </w:t>
      </w:r>
      <w:r w:rsidR="00A964CB">
        <w:t xml:space="preserve">traditional </w:t>
      </w:r>
      <w:r>
        <w:t>rate proceedings</w:t>
      </w:r>
      <w:r w:rsidR="00A964CB">
        <w:t xml:space="preserve"> for utilities with alternative regulation plans</w:t>
      </w:r>
      <w:r>
        <w:t>.</w:t>
      </w:r>
      <w:r w:rsidR="00AD1EDD">
        <w:rPr>
          <w:rStyle w:val="FootnoteReference"/>
        </w:rPr>
        <w:footnoteReference w:id="1"/>
      </w:r>
      <w:r>
        <w:t xml:space="preserve"> </w:t>
      </w:r>
    </w:p>
    <w:p w14:paraId="19DA4A72" w14:textId="7F518A05" w:rsidR="00F928D4" w:rsidRDefault="00745F53" w:rsidP="003D1B93">
      <w:pPr>
        <w:spacing w:line="480" w:lineRule="auto"/>
        <w:ind w:firstLine="720"/>
      </w:pPr>
      <w:r>
        <w:lastRenderedPageBreak/>
        <w:t>We also issue</w:t>
      </w:r>
      <w:r w:rsidR="00982B10">
        <w:t xml:space="preserve"> reports on a wide range of topics</w:t>
      </w:r>
      <w:r w:rsidR="00843F11">
        <w:t xml:space="preserve">, all of which </w:t>
      </w:r>
      <w:r w:rsidR="00624F48">
        <w:t xml:space="preserve">are available </w:t>
      </w:r>
      <w:r w:rsidR="00843F11">
        <w:t>on</w:t>
      </w:r>
      <w:r w:rsidR="00624F48">
        <w:t xml:space="preserve"> our website</w:t>
      </w:r>
      <w:r w:rsidR="00EB3CC6">
        <w:t xml:space="preserve"> at </w:t>
      </w:r>
      <w:hyperlink r:id="rId12" w:history="1">
        <w:r w:rsidR="002A3706" w:rsidRPr="009130B7">
          <w:rPr>
            <w:rStyle w:val="Hyperlink"/>
          </w:rPr>
          <w:t>https://puc.vermont.gov/document-category/report</w:t>
        </w:r>
      </w:hyperlink>
      <w:r w:rsidR="009B2831">
        <w:t xml:space="preserve">. </w:t>
      </w:r>
      <w:r w:rsidR="00982B10" w:rsidRPr="00886478">
        <w:t>In 20</w:t>
      </w:r>
      <w:r w:rsidR="00EB3CC6" w:rsidRPr="00886478">
        <w:t>2</w:t>
      </w:r>
      <w:r w:rsidR="00886478" w:rsidRPr="00845AD3">
        <w:t>2</w:t>
      </w:r>
      <w:r w:rsidR="00982B10" w:rsidRPr="00886478">
        <w:t xml:space="preserve"> we issue</w:t>
      </w:r>
      <w:r w:rsidRPr="00886478">
        <w:t xml:space="preserve">d </w:t>
      </w:r>
      <w:r w:rsidR="00E67BFB" w:rsidRPr="00886478">
        <w:t xml:space="preserve">four </w:t>
      </w:r>
      <w:r w:rsidR="00082DAD">
        <w:t xml:space="preserve">substantive </w:t>
      </w:r>
      <w:r w:rsidR="009C20BE" w:rsidRPr="00886478">
        <w:t>r</w:t>
      </w:r>
      <w:r w:rsidRPr="00886478">
        <w:t>eports</w:t>
      </w:r>
      <w:r w:rsidR="00DA47B0" w:rsidRPr="00886478">
        <w:t xml:space="preserve"> </w:t>
      </w:r>
      <w:r w:rsidR="00280D8C" w:rsidRPr="00886478">
        <w:t>at the request of the Legislature</w:t>
      </w:r>
      <w:r w:rsidR="002F642C" w:rsidRPr="00886478">
        <w:t xml:space="preserve">. </w:t>
      </w:r>
      <w:r w:rsidR="00886478" w:rsidRPr="00845AD3">
        <w:t>Three of these related to the Commission’s oversight of Vermont’s Energy Efficiency Utilities.  The fourth provided information regarding progress on Vermont electric utility rates related to electric vehicles and electric vehicle supply equipment.</w:t>
      </w:r>
      <w:r w:rsidR="00E67BFB" w:rsidRPr="00886478">
        <w:t xml:space="preserve"> </w:t>
      </w:r>
    </w:p>
    <w:p w14:paraId="6666C530" w14:textId="195BAB20" w:rsidR="009C403A" w:rsidRDefault="008C4FF8" w:rsidP="00F928D4">
      <w:pPr>
        <w:spacing w:line="480" w:lineRule="auto"/>
        <w:ind w:firstLine="720"/>
      </w:pPr>
      <w:r w:rsidRPr="008C4FF8">
        <w:t xml:space="preserve">The Commission decides most </w:t>
      </w:r>
      <w:r w:rsidR="00EC72AD">
        <w:t xml:space="preserve">contested </w:t>
      </w:r>
      <w:r w:rsidRPr="008C4FF8">
        <w:t xml:space="preserve">cases on the basis of </w:t>
      </w:r>
      <w:r w:rsidR="00EC72AD">
        <w:t>written</w:t>
      </w:r>
      <w:r w:rsidR="00280D8C">
        <w:t>, sworn</w:t>
      </w:r>
      <w:r w:rsidR="00EC72AD">
        <w:t xml:space="preserve"> </w:t>
      </w:r>
      <w:r w:rsidRPr="008C4FF8">
        <w:t>filings by parties</w:t>
      </w:r>
      <w:r w:rsidR="009728C6">
        <w:t xml:space="preserve">. </w:t>
      </w:r>
      <w:r w:rsidRPr="008C4FF8">
        <w:t xml:space="preserve">Commissioners or hearing officers </w:t>
      </w:r>
      <w:r w:rsidR="001222C9">
        <w:t xml:space="preserve">also </w:t>
      </w:r>
      <w:r w:rsidRPr="008C4FF8">
        <w:t>hold events such as scheduling</w:t>
      </w:r>
      <w:r w:rsidR="009728C6">
        <w:t xml:space="preserve"> and </w:t>
      </w:r>
      <w:r w:rsidRPr="008C4FF8">
        <w:t xml:space="preserve">status conferences, </w:t>
      </w:r>
      <w:r w:rsidR="00420776">
        <w:t xml:space="preserve">site visits, </w:t>
      </w:r>
      <w:r w:rsidRPr="008C4FF8">
        <w:t xml:space="preserve">evidentiary </w:t>
      </w:r>
      <w:r w:rsidR="009728C6">
        <w:t xml:space="preserve">and </w:t>
      </w:r>
      <w:r w:rsidRPr="008C4FF8">
        <w:t xml:space="preserve">public hearings, workshops, and oral arguments. </w:t>
      </w:r>
      <w:r w:rsidR="008001E3" w:rsidRPr="003F2274">
        <w:t xml:space="preserve">More than </w:t>
      </w:r>
      <w:r w:rsidR="008001E3">
        <w:t>105</w:t>
      </w:r>
      <w:r w:rsidR="008001E3" w:rsidRPr="003F2274">
        <w:t xml:space="preserve"> hearings or other </w:t>
      </w:r>
      <w:r w:rsidR="008001E3">
        <w:t xml:space="preserve">such </w:t>
      </w:r>
      <w:r w:rsidR="008001E3" w:rsidRPr="003F2274">
        <w:t>events were held in 202</w:t>
      </w:r>
      <w:r w:rsidR="008001E3">
        <w:t>2</w:t>
      </w:r>
      <w:r w:rsidR="008001E3" w:rsidRPr="003F2274">
        <w:t>.</w:t>
      </w:r>
      <w:r w:rsidR="008001E3" w:rsidRPr="008C4FF8">
        <w:t xml:space="preserve"> </w:t>
      </w:r>
      <w:r w:rsidR="008001E3">
        <w:t xml:space="preserve"> </w:t>
      </w:r>
      <w:r w:rsidR="00263D33">
        <w:t xml:space="preserve">Historically these events were held in person. However, </w:t>
      </w:r>
      <w:r w:rsidR="00F877DF">
        <w:t xml:space="preserve">as a result of the COVID-19 pandemic, </w:t>
      </w:r>
      <w:r w:rsidR="00636E7C" w:rsidRPr="003F2274">
        <w:t>in 202</w:t>
      </w:r>
      <w:r w:rsidR="003F2274">
        <w:t>2</w:t>
      </w:r>
      <w:r w:rsidR="00636E7C" w:rsidRPr="003F2274">
        <w:t xml:space="preserve"> </w:t>
      </w:r>
      <w:r w:rsidR="00263D33" w:rsidRPr="003F2274">
        <w:t>the Commission held all such events remotely via videoconference</w:t>
      </w:r>
      <w:r w:rsidR="00240C43" w:rsidRPr="003F2274">
        <w:t xml:space="preserve">, except for </w:t>
      </w:r>
      <w:r w:rsidR="003F6C67">
        <w:t xml:space="preserve">eight </w:t>
      </w:r>
      <w:r w:rsidR="00240C43" w:rsidRPr="003F2274">
        <w:t>site visits</w:t>
      </w:r>
      <w:r w:rsidR="00F70292" w:rsidRPr="003F2274">
        <w:t xml:space="preserve">, which </w:t>
      </w:r>
      <w:r w:rsidR="008001E3">
        <w:t>were</w:t>
      </w:r>
      <w:r w:rsidR="008001E3" w:rsidRPr="003F2274">
        <w:t xml:space="preserve"> </w:t>
      </w:r>
      <w:r w:rsidR="00C1093B" w:rsidRPr="003F2274">
        <w:t xml:space="preserve">conducted </w:t>
      </w:r>
      <w:r w:rsidR="00F70292" w:rsidRPr="003F2274">
        <w:t>outdoors</w:t>
      </w:r>
      <w:r w:rsidR="003F2274" w:rsidRPr="003F2274">
        <w:t>, and one public hearing that was held in a hybrid format (including both in-person and remote participation)</w:t>
      </w:r>
      <w:r w:rsidR="00263D33" w:rsidRPr="003F2274">
        <w:t xml:space="preserve">. </w:t>
      </w:r>
      <w:r w:rsidR="00397598">
        <w:t xml:space="preserve"> </w:t>
      </w:r>
      <w:r w:rsidRPr="008C4FF8">
        <w:t>Transcripts of all public hearings</w:t>
      </w:r>
      <w:r w:rsidR="00E877B3">
        <w:t xml:space="preserve"> and other </w:t>
      </w:r>
      <w:r w:rsidRPr="008C4FF8">
        <w:t>events are available in ePUC</w:t>
      </w:r>
      <w:r w:rsidR="006C4F9E">
        <w:t>, the Commission</w:t>
      </w:r>
      <w:r w:rsidR="00280D8C">
        <w:t>’s online case-management</w:t>
      </w:r>
      <w:r w:rsidR="006C4F9E">
        <w:t xml:space="preserve"> system</w:t>
      </w:r>
      <w:r w:rsidR="000736C3">
        <w:t>.</w:t>
      </w:r>
      <w:r w:rsidR="009C403A">
        <w:t xml:space="preserve"> </w:t>
      </w:r>
    </w:p>
    <w:p w14:paraId="2F423D83" w14:textId="77777777" w:rsidR="00AA0D1E" w:rsidRPr="00AA0D1E" w:rsidRDefault="00AA0D1E" w:rsidP="00E77F31">
      <w:pPr>
        <w:spacing w:before="240" w:line="480" w:lineRule="auto"/>
        <w:jc w:val="center"/>
        <w:rPr>
          <w:b/>
          <w:u w:val="single"/>
        </w:rPr>
      </w:pPr>
      <w:r>
        <w:rPr>
          <w:b/>
          <w:u w:val="single"/>
        </w:rPr>
        <w:t>OUR FUNDING</w:t>
      </w:r>
    </w:p>
    <w:p w14:paraId="3DD34B26" w14:textId="2D7C6CB1" w:rsidR="003A4BCA" w:rsidRDefault="00E7462E" w:rsidP="00082DAD">
      <w:pPr>
        <w:spacing w:line="480" w:lineRule="auto"/>
        <w:ind w:firstLine="720"/>
      </w:pPr>
      <w:r>
        <w:t xml:space="preserve">The Commission is funded completely through a gross receipts </w:t>
      </w:r>
      <w:r w:rsidR="00AA0D1E">
        <w:t xml:space="preserve">tax paid by </w:t>
      </w:r>
      <w:r>
        <w:t>the utilities that we regulate</w:t>
      </w:r>
      <w:r w:rsidR="007D6623">
        <w:t xml:space="preserve">, </w:t>
      </w:r>
      <w:r>
        <w:t xml:space="preserve">fees paid by applicants for </w:t>
      </w:r>
      <w:r w:rsidR="001A7D6E">
        <w:t>CPGs</w:t>
      </w:r>
      <w:r w:rsidR="00E877B3">
        <w:t xml:space="preserve"> </w:t>
      </w:r>
      <w:r>
        <w:t>who are not paying a gross receipts tax</w:t>
      </w:r>
      <w:r w:rsidR="000736C3">
        <w:t>,</w:t>
      </w:r>
      <w:r w:rsidR="007D6623">
        <w:t xml:space="preserve"> and billbacks for out</w:t>
      </w:r>
      <w:r w:rsidR="000736C3">
        <w:t>-</w:t>
      </w:r>
      <w:r w:rsidR="007D6623">
        <w:t>of</w:t>
      </w:r>
      <w:r w:rsidR="000736C3">
        <w:t>-</w:t>
      </w:r>
      <w:r w:rsidR="007D6623">
        <w:t>pocket costs, such as court reporters and outside consultants, associated with hearings conducted by the Commission</w:t>
      </w:r>
      <w:r>
        <w:t xml:space="preserve">. No </w:t>
      </w:r>
      <w:r w:rsidR="000736C3">
        <w:t>S</w:t>
      </w:r>
      <w:r>
        <w:t>tate general funds are used</w:t>
      </w:r>
      <w:r w:rsidR="003720AB">
        <w:t>.</w:t>
      </w:r>
      <w:r w:rsidR="001C3756">
        <w:t xml:space="preserve"> </w:t>
      </w:r>
      <w:r w:rsidR="00E16775">
        <w:t>The Commission’s legislative</w:t>
      </w:r>
      <w:r w:rsidR="003C0CF9">
        <w:t>ly</w:t>
      </w:r>
      <w:r w:rsidR="00E16775">
        <w:t xml:space="preserve"> approved budget for the current fiscal year </w:t>
      </w:r>
      <w:r w:rsidR="00397598">
        <w:t>(</w:t>
      </w:r>
      <w:r w:rsidR="00E16775">
        <w:t>July 1, 20</w:t>
      </w:r>
      <w:r w:rsidR="00ED1840">
        <w:t>2</w:t>
      </w:r>
      <w:r w:rsidR="00021015">
        <w:t>2</w:t>
      </w:r>
      <w:r w:rsidR="001C3756">
        <w:t>,</w:t>
      </w:r>
      <w:r w:rsidR="00E16775">
        <w:t xml:space="preserve"> through June 30, 202</w:t>
      </w:r>
      <w:r w:rsidR="00021015">
        <w:t>3</w:t>
      </w:r>
      <w:r w:rsidR="00397598">
        <w:t>)</w:t>
      </w:r>
      <w:r w:rsidR="003C0CF9">
        <w:t xml:space="preserve"> is </w:t>
      </w:r>
      <w:r w:rsidR="000E38C8" w:rsidRPr="00AA4924">
        <w:t>$</w:t>
      </w:r>
      <w:r w:rsidR="00021015">
        <w:t>4,099,690</w:t>
      </w:r>
      <w:r w:rsidR="000E38C8">
        <w:t xml:space="preserve">. </w:t>
      </w:r>
      <w:r w:rsidR="005A65E0">
        <w:t>Of that amount</w:t>
      </w:r>
      <w:r w:rsidR="00374E5B" w:rsidRPr="003C2A55">
        <w:t>,</w:t>
      </w:r>
      <w:r w:rsidR="005A65E0" w:rsidRPr="003C2A55">
        <w:t xml:space="preserve"> </w:t>
      </w:r>
      <w:r w:rsidR="00B07234" w:rsidRPr="003C2A55">
        <w:t>over 8</w:t>
      </w:r>
      <w:r w:rsidR="000710CD" w:rsidRPr="003C2A55">
        <w:t>5</w:t>
      </w:r>
      <w:r w:rsidR="005A65E0" w:rsidRPr="003C2A55">
        <w:t>% represents</w:t>
      </w:r>
      <w:r w:rsidR="005A65E0">
        <w:t xml:space="preserve"> salaries and benefits for our employees</w:t>
      </w:r>
      <w:r w:rsidR="00374E5B">
        <w:t>.</w:t>
      </w:r>
      <w:r w:rsidR="00B07234">
        <w:t xml:space="preserve"> </w:t>
      </w:r>
      <w:r w:rsidR="00955640">
        <w:t xml:space="preserve">Most </w:t>
      </w:r>
      <w:r w:rsidR="00955640">
        <w:lastRenderedPageBreak/>
        <w:t xml:space="preserve">of the remaining budget is spent on fixed costs </w:t>
      </w:r>
      <w:r w:rsidR="00197382">
        <w:t xml:space="preserve">for </w:t>
      </w:r>
      <w:r w:rsidR="00955640">
        <w:t xml:space="preserve">services provided by </w:t>
      </w:r>
      <w:r w:rsidR="00397598">
        <w:t xml:space="preserve">other </w:t>
      </w:r>
      <w:r w:rsidR="00955640">
        <w:t xml:space="preserve">Vermont </w:t>
      </w:r>
      <w:r w:rsidR="000736C3">
        <w:t>a</w:t>
      </w:r>
      <w:r w:rsidR="00955640">
        <w:t>gencies</w:t>
      </w:r>
      <w:r w:rsidR="000736C3">
        <w:t>,</w:t>
      </w:r>
      <w:r w:rsidR="00955640">
        <w:t xml:space="preserve"> including rent</w:t>
      </w:r>
      <w:r w:rsidR="0056384D">
        <w:t xml:space="preserve"> and</w:t>
      </w:r>
      <w:r w:rsidR="00955640">
        <w:t xml:space="preserve"> </w:t>
      </w:r>
      <w:r w:rsidR="006E6835">
        <w:t xml:space="preserve">information technology </w:t>
      </w:r>
      <w:r w:rsidR="00955640">
        <w:t>services</w:t>
      </w:r>
      <w:r w:rsidR="0056384D">
        <w:t>.</w:t>
      </w:r>
      <w:r w:rsidR="00E77F31">
        <w:t xml:space="preserve"> </w:t>
      </w:r>
    </w:p>
    <w:p w14:paraId="5F15563E" w14:textId="77777777" w:rsidR="003720AB" w:rsidRDefault="001B4E1B" w:rsidP="00082DAD">
      <w:pPr>
        <w:spacing w:before="240" w:line="480" w:lineRule="auto"/>
        <w:jc w:val="center"/>
      </w:pPr>
      <w:r>
        <w:rPr>
          <w:b/>
          <w:u w:val="single"/>
        </w:rPr>
        <w:t>OUR STAFF</w:t>
      </w:r>
    </w:p>
    <w:p w14:paraId="509A6EBA" w14:textId="6CCB4605" w:rsidR="00E7462E" w:rsidRDefault="003720AB" w:rsidP="009C403A">
      <w:pPr>
        <w:spacing w:line="480" w:lineRule="auto"/>
        <w:ind w:firstLine="720"/>
      </w:pPr>
      <w:r>
        <w:t>Although the Commission’s workload has increased substantially over the last 20 years</w:t>
      </w:r>
      <w:r w:rsidR="00397598" w:rsidRPr="00397598">
        <w:t xml:space="preserve"> </w:t>
      </w:r>
      <w:r w:rsidR="00397598">
        <w:t xml:space="preserve">– for instance, from 20 net-metering applications in 2001 to more than 2,900 in 2022 – </w:t>
      </w:r>
      <w:r w:rsidR="00AC6D7A">
        <w:t xml:space="preserve"> </w:t>
      </w:r>
      <w:r>
        <w:t>the size of our staff has remained essentially unchanged</w:t>
      </w:r>
      <w:r w:rsidR="009413FC">
        <w:t xml:space="preserve"> due to</w:t>
      </w:r>
      <w:r w:rsidR="00E877B3">
        <w:t xml:space="preserve"> (1)</w:t>
      </w:r>
      <w:r w:rsidR="009413FC">
        <w:t xml:space="preserve"> the outstanding work</w:t>
      </w:r>
      <w:r w:rsidR="001C3756">
        <w:t xml:space="preserve"> of our</w:t>
      </w:r>
      <w:r w:rsidR="00496E33">
        <w:t xml:space="preserve"> </w:t>
      </w:r>
      <w:r w:rsidR="001C3756">
        <w:t xml:space="preserve">staff of </w:t>
      </w:r>
      <w:r w:rsidR="002C1ACA">
        <w:t>dedicated</w:t>
      </w:r>
      <w:r w:rsidR="00496E33">
        <w:t xml:space="preserve"> professionals </w:t>
      </w:r>
      <w:r w:rsidR="00742461">
        <w:t>and</w:t>
      </w:r>
      <w:r w:rsidR="00E877B3">
        <w:t xml:space="preserve"> (2)</w:t>
      </w:r>
      <w:r w:rsidR="009413FC">
        <w:t xml:space="preserve"> the introduction of innovative systems such as </w:t>
      </w:r>
      <w:r w:rsidR="00397598">
        <w:t xml:space="preserve">our electronic filing system, </w:t>
      </w:r>
      <w:r w:rsidR="009413FC">
        <w:t>ePUC</w:t>
      </w:r>
      <w:r w:rsidR="00742461">
        <w:t xml:space="preserve">. </w:t>
      </w:r>
    </w:p>
    <w:p w14:paraId="4F96A61E" w14:textId="412B676F" w:rsidR="00F37EED" w:rsidRDefault="00F07A11" w:rsidP="00CF62A9">
      <w:pPr>
        <w:spacing w:line="480" w:lineRule="auto"/>
        <w:ind w:firstLine="720"/>
      </w:pPr>
      <w:r>
        <w:t xml:space="preserve">Listed below are the names of </w:t>
      </w:r>
      <w:r w:rsidR="00F37EED">
        <w:t>everyone who works at the Commission:</w:t>
      </w:r>
      <w:r>
        <w:t xml:space="preserve"> </w:t>
      </w:r>
    </w:p>
    <w:p w14:paraId="616FB0DA" w14:textId="6B4AF583" w:rsidR="00CF62A9" w:rsidRPr="00CF62A9" w:rsidRDefault="00CF62A9" w:rsidP="00C364E0">
      <w:pPr>
        <w:ind w:firstLine="720"/>
        <w:rPr>
          <w:b/>
          <w:bCs/>
        </w:rPr>
      </w:pPr>
      <w:r w:rsidRPr="00CF62A9">
        <w:rPr>
          <w:b/>
          <w:bCs/>
        </w:rPr>
        <w:t>The Commission</w:t>
      </w:r>
      <w:r w:rsidR="001A7D6E">
        <w:rPr>
          <w:b/>
          <w:bCs/>
        </w:rPr>
        <w:t>ers</w:t>
      </w:r>
    </w:p>
    <w:p w14:paraId="14E080E0" w14:textId="48D9419F" w:rsidR="00CF62A9" w:rsidRDefault="00CF62A9" w:rsidP="00C364E0">
      <w:pPr>
        <w:ind w:left="720"/>
      </w:pPr>
      <w:r w:rsidRPr="00CF62A9">
        <w:t>Anthony Z. Roisman, Chair</w:t>
      </w:r>
      <w:r w:rsidRPr="00CF62A9">
        <w:br/>
        <w:t>Margaret Cheney, Commissioner</w:t>
      </w:r>
      <w:r w:rsidRPr="00CF62A9">
        <w:br/>
      </w:r>
      <w:r w:rsidR="00074A88">
        <w:t>J. Riley Allen</w:t>
      </w:r>
      <w:r w:rsidRPr="00CF62A9">
        <w:t>, Commissioner</w:t>
      </w:r>
    </w:p>
    <w:p w14:paraId="3D750D30" w14:textId="77777777" w:rsidR="00C364E0" w:rsidRPr="00CF62A9" w:rsidRDefault="00C364E0" w:rsidP="00C364E0">
      <w:pPr>
        <w:ind w:left="720"/>
      </w:pPr>
    </w:p>
    <w:p w14:paraId="03BCD783" w14:textId="77777777" w:rsidR="00CF62A9" w:rsidRPr="00CF62A9" w:rsidRDefault="00CF62A9" w:rsidP="00C364E0">
      <w:pPr>
        <w:ind w:firstLine="720"/>
        <w:rPr>
          <w:b/>
          <w:bCs/>
        </w:rPr>
      </w:pPr>
      <w:r w:rsidRPr="00CF62A9">
        <w:rPr>
          <w:b/>
          <w:bCs/>
        </w:rPr>
        <w:t>Operations</w:t>
      </w:r>
    </w:p>
    <w:p w14:paraId="5817E0E6" w14:textId="51B74C66" w:rsidR="00E877B3" w:rsidRDefault="00CF62A9" w:rsidP="000538D5">
      <w:pPr>
        <w:ind w:left="720"/>
      </w:pPr>
      <w:r w:rsidRPr="00CF62A9">
        <w:t>Ann Bishop, Director of Operations</w:t>
      </w:r>
      <w:r w:rsidRPr="00CF62A9">
        <w:br/>
      </w:r>
      <w:r w:rsidR="00057D8A">
        <w:t>Karen Hutchinson</w:t>
      </w:r>
      <w:r w:rsidR="00E877B3" w:rsidRPr="00CF62A9">
        <w:t>, Business Manager</w:t>
      </w:r>
    </w:p>
    <w:p w14:paraId="7EA470A9" w14:textId="271BCF4B" w:rsidR="00CF62A9" w:rsidRDefault="00CF62A9" w:rsidP="00C364E0">
      <w:pPr>
        <w:ind w:left="720"/>
      </w:pPr>
      <w:r w:rsidRPr="00CF62A9">
        <w:t>Rowan Cornell-Brown, Solar Net-Metering Program Manager</w:t>
      </w:r>
    </w:p>
    <w:p w14:paraId="47488312" w14:textId="77777777" w:rsidR="00C364E0" w:rsidRPr="00CF62A9" w:rsidRDefault="00C364E0" w:rsidP="00C364E0">
      <w:pPr>
        <w:ind w:left="720"/>
      </w:pPr>
    </w:p>
    <w:p w14:paraId="05830CD1" w14:textId="2C44DFF8" w:rsidR="00CF62A9" w:rsidRPr="00CF62A9" w:rsidRDefault="00CF62A9" w:rsidP="00C364E0">
      <w:pPr>
        <w:ind w:firstLine="720"/>
      </w:pPr>
      <w:r w:rsidRPr="00CF62A9">
        <w:rPr>
          <w:b/>
          <w:bCs/>
        </w:rPr>
        <w:t>Clerk</w:t>
      </w:r>
      <w:r w:rsidR="006E6835">
        <w:rPr>
          <w:b/>
          <w:bCs/>
        </w:rPr>
        <w:t>’</w:t>
      </w:r>
      <w:r w:rsidRPr="00CF62A9">
        <w:rPr>
          <w:b/>
          <w:bCs/>
        </w:rPr>
        <w:t>s Office</w:t>
      </w:r>
    </w:p>
    <w:p w14:paraId="68389D87" w14:textId="4051F7C4" w:rsidR="00C364E0" w:rsidRDefault="00CF62A9" w:rsidP="00C364E0">
      <w:pPr>
        <w:ind w:left="720"/>
      </w:pPr>
      <w:r w:rsidRPr="00CF62A9">
        <w:t>Holly Anderson, Clerk</w:t>
      </w:r>
      <w:r w:rsidR="00ED1840">
        <w:t xml:space="preserve"> of the Commission</w:t>
      </w:r>
    </w:p>
    <w:p w14:paraId="4DF1E933" w14:textId="7FFAC482" w:rsidR="00956EB2" w:rsidRDefault="00C364E0" w:rsidP="00C364E0">
      <w:pPr>
        <w:ind w:left="720"/>
      </w:pPr>
      <w:r>
        <w:t>P</w:t>
      </w:r>
      <w:r w:rsidR="00CF62A9" w:rsidRPr="00CF62A9">
        <w:t xml:space="preserve">am Lenahan, </w:t>
      </w:r>
      <w:r w:rsidR="00884F20">
        <w:t xml:space="preserve">Deputy Clerk </w:t>
      </w:r>
      <w:r w:rsidR="00CF62A9" w:rsidRPr="00CF62A9">
        <w:br/>
      </w:r>
      <w:r w:rsidR="00956EB2">
        <w:t>Paul Cavaliere, Administrative Services Tech. III</w:t>
      </w:r>
    </w:p>
    <w:p w14:paraId="0F8F6680" w14:textId="6218012C" w:rsidR="00CF62A9" w:rsidRDefault="00CF62A9" w:rsidP="00C364E0">
      <w:pPr>
        <w:ind w:left="720"/>
      </w:pPr>
      <w:r w:rsidRPr="00CF62A9">
        <w:t>Dorothy Morley, Administrative Services Tech. III</w:t>
      </w:r>
      <w:r w:rsidRPr="00CF62A9">
        <w:br/>
        <w:t>Susan Shontelle-Smith, Administrative Services Tech. III</w:t>
      </w:r>
    </w:p>
    <w:p w14:paraId="71754AAA" w14:textId="77777777" w:rsidR="00C364E0" w:rsidRPr="00CF62A9" w:rsidRDefault="00C364E0" w:rsidP="00C364E0">
      <w:pPr>
        <w:ind w:left="720"/>
      </w:pPr>
    </w:p>
    <w:p w14:paraId="0B5BF54D" w14:textId="77777777" w:rsidR="00CF62A9" w:rsidRPr="00CF62A9" w:rsidRDefault="00CF62A9" w:rsidP="00C364E0">
      <w:pPr>
        <w:ind w:firstLine="720"/>
      </w:pPr>
      <w:r w:rsidRPr="00CF62A9">
        <w:rPr>
          <w:b/>
          <w:bCs/>
        </w:rPr>
        <w:t>Legal Division</w:t>
      </w:r>
    </w:p>
    <w:p w14:paraId="51C4B7F5" w14:textId="55C96696" w:rsidR="00E877B3" w:rsidRDefault="00CF62A9" w:rsidP="00C364E0">
      <w:pPr>
        <w:ind w:left="720"/>
      </w:pPr>
      <w:r w:rsidRPr="00CF62A9">
        <w:t>Kyle Landis-Marinello, General Counsel</w:t>
      </w:r>
      <w:r w:rsidRPr="00CF62A9">
        <w:br/>
        <w:t>John Cotter, Deputy General Counsel</w:t>
      </w:r>
      <w:r w:rsidRPr="00CF62A9">
        <w:br/>
      </w:r>
      <w:r w:rsidR="00E877B3" w:rsidRPr="00CF62A9">
        <w:t xml:space="preserve">Steph Hoffman, Deputy General Counsel </w:t>
      </w:r>
    </w:p>
    <w:p w14:paraId="42F66291" w14:textId="7D95ACA9" w:rsidR="00E877B3" w:rsidRDefault="00E877B3" w:rsidP="00C364E0">
      <w:pPr>
        <w:ind w:left="720"/>
      </w:pPr>
      <w:r w:rsidRPr="00CF62A9">
        <w:t>Jake Marren, Deputy General Counsel</w:t>
      </w:r>
      <w:r>
        <w:t xml:space="preserve"> </w:t>
      </w:r>
    </w:p>
    <w:p w14:paraId="61DE324F" w14:textId="49415760" w:rsidR="00CF62A9" w:rsidRDefault="00956EB2" w:rsidP="00C364E0">
      <w:pPr>
        <w:ind w:left="720"/>
      </w:pPr>
      <w:r>
        <w:t>Dan Burke</w:t>
      </w:r>
      <w:r w:rsidR="00CF62A9" w:rsidRPr="00CF62A9">
        <w:t>, Staff Attorney</w:t>
      </w:r>
      <w:r w:rsidR="00CF62A9" w:rsidRPr="00CF62A9">
        <w:br/>
        <w:t>Micah Howe, Staff Attorney</w:t>
      </w:r>
      <w:r w:rsidR="00CF62A9" w:rsidRPr="00CF62A9">
        <w:br/>
        <w:t>Elizabeth Schilling, Staff Attorney</w:t>
      </w:r>
      <w:r w:rsidR="00CF62A9" w:rsidRPr="00CF62A9">
        <w:br/>
        <w:t>Mike Tousley, Staff Attorney</w:t>
      </w:r>
    </w:p>
    <w:p w14:paraId="10E35DCE" w14:textId="79B81817" w:rsidR="00C364E0" w:rsidRDefault="00C364E0" w:rsidP="00C364E0">
      <w:pPr>
        <w:ind w:left="720"/>
      </w:pPr>
    </w:p>
    <w:p w14:paraId="26811AD3" w14:textId="77777777" w:rsidR="00B56094" w:rsidRPr="00CF62A9" w:rsidRDefault="00B56094" w:rsidP="00C364E0">
      <w:pPr>
        <w:ind w:left="720"/>
      </w:pPr>
    </w:p>
    <w:p w14:paraId="243CE867" w14:textId="77777777" w:rsidR="00CF62A9" w:rsidRPr="00CF62A9" w:rsidRDefault="00CF62A9" w:rsidP="00C364E0">
      <w:pPr>
        <w:ind w:firstLine="720"/>
      </w:pPr>
      <w:r w:rsidRPr="00CF62A9">
        <w:rPr>
          <w:b/>
          <w:bCs/>
        </w:rPr>
        <w:lastRenderedPageBreak/>
        <w:t>Policy Division</w:t>
      </w:r>
    </w:p>
    <w:p w14:paraId="6064B255" w14:textId="2B51E413" w:rsidR="00945BC4" w:rsidRDefault="00CF62A9" w:rsidP="00C364E0">
      <w:pPr>
        <w:ind w:left="720"/>
      </w:pPr>
      <w:r w:rsidRPr="00CF62A9">
        <w:t>Tom Knauer, Policy Director</w:t>
      </w:r>
      <w:r w:rsidRPr="00CF62A9">
        <w:br/>
        <w:t>Gregg Faber, Utilities Analyst</w:t>
      </w:r>
      <w:r w:rsidRPr="00CF62A9">
        <w:br/>
        <w:t>Mary Jo Krolewski, Utilities Analyst</w:t>
      </w:r>
      <w:r w:rsidRPr="00CF62A9">
        <w:br/>
      </w:r>
      <w:r w:rsidR="00945BC4">
        <w:t>Kelly Martone, Environmental Analyst</w:t>
      </w:r>
    </w:p>
    <w:p w14:paraId="1991BFD6" w14:textId="41EEDCDB" w:rsidR="00D05012" w:rsidRDefault="00CF62A9" w:rsidP="00B56094">
      <w:pPr>
        <w:ind w:left="720"/>
      </w:pPr>
      <w:r w:rsidRPr="00CF62A9">
        <w:t>Andrea Poppiti, Utilities Analyst</w:t>
      </w:r>
      <w:r w:rsidRPr="00CF62A9">
        <w:br/>
      </w:r>
    </w:p>
    <w:p w14:paraId="5F6990BF" w14:textId="43708FEC" w:rsidR="00F524F0" w:rsidRDefault="00021015" w:rsidP="000901EA">
      <w:pPr>
        <w:spacing w:line="480" w:lineRule="auto"/>
        <w:ind w:firstLine="720"/>
      </w:pPr>
      <w:r>
        <w:t>For eight months of</w:t>
      </w:r>
      <w:r w:rsidR="00420D97">
        <w:t xml:space="preserve"> 202</w:t>
      </w:r>
      <w:r>
        <w:t>2</w:t>
      </w:r>
      <w:r w:rsidR="00D05012">
        <w:t xml:space="preserve">, we also benefitted </w:t>
      </w:r>
      <w:r w:rsidR="00420D97">
        <w:t xml:space="preserve">greatly </w:t>
      </w:r>
      <w:r w:rsidR="00D05012">
        <w:t xml:space="preserve">from having a </w:t>
      </w:r>
      <w:r w:rsidR="00420D97">
        <w:t>temporary</w:t>
      </w:r>
      <w:r w:rsidR="00D05012">
        <w:t xml:space="preserve"> U.S. Department of Energy </w:t>
      </w:r>
      <w:r w:rsidR="00D05012">
        <w:rPr>
          <w:rFonts w:eastAsia="Times New Roman"/>
          <w:color w:val="000000"/>
          <w:shd w:val="clear" w:color="auto" w:fill="FFFFFF"/>
        </w:rPr>
        <w:t>Solar Energy Innovat</w:t>
      </w:r>
      <w:r w:rsidR="00B709A3">
        <w:rPr>
          <w:rFonts w:eastAsia="Times New Roman"/>
          <w:color w:val="000000"/>
          <w:shd w:val="clear" w:color="auto" w:fill="FFFFFF"/>
        </w:rPr>
        <w:t>ion</w:t>
      </w:r>
      <w:r w:rsidR="00D05012">
        <w:rPr>
          <w:rFonts w:eastAsia="Times New Roman"/>
          <w:color w:val="000000"/>
          <w:shd w:val="clear" w:color="auto" w:fill="FFFFFF"/>
        </w:rPr>
        <w:t xml:space="preserve"> </w:t>
      </w:r>
      <w:r w:rsidR="00D05012">
        <w:t xml:space="preserve">Fellow, Veronica Ung-Kono. </w:t>
      </w:r>
      <w:r w:rsidR="00886478">
        <w:t>Starting in March 2023, we are benefitting from having a temporary U.S. Department of Energy Clean Energy Innovation Fellow, Dominic Gatti.</w:t>
      </w:r>
    </w:p>
    <w:p w14:paraId="026BE2A1" w14:textId="504E2747" w:rsidR="00273C92" w:rsidRDefault="00C3153D" w:rsidP="00E77F31">
      <w:pPr>
        <w:spacing w:before="240" w:line="480" w:lineRule="auto"/>
        <w:jc w:val="center"/>
        <w:rPr>
          <w:b/>
          <w:u w:val="single"/>
        </w:rPr>
      </w:pPr>
      <w:r>
        <w:rPr>
          <w:b/>
          <w:u w:val="single"/>
        </w:rPr>
        <w:t>OUR MAJOR WORK IN 20</w:t>
      </w:r>
      <w:r w:rsidR="00ED1840">
        <w:rPr>
          <w:b/>
          <w:u w:val="single"/>
        </w:rPr>
        <w:t>2</w:t>
      </w:r>
      <w:r w:rsidR="00021015">
        <w:rPr>
          <w:b/>
          <w:u w:val="single"/>
        </w:rPr>
        <w:t>2</w:t>
      </w:r>
      <w:r w:rsidR="00240C97">
        <w:rPr>
          <w:b/>
          <w:u w:val="single"/>
        </w:rPr>
        <w:t xml:space="preserve"> </w:t>
      </w:r>
    </w:p>
    <w:p w14:paraId="7FE1F873" w14:textId="6145AC3A" w:rsidR="00E926F7" w:rsidRDefault="00E926F7" w:rsidP="00273C92">
      <w:pPr>
        <w:spacing w:line="480" w:lineRule="auto"/>
        <w:ind w:firstLine="720"/>
      </w:pPr>
      <w:r>
        <w:t>Every determination we made in 20</w:t>
      </w:r>
      <w:r w:rsidR="00ED1840">
        <w:t>2</w:t>
      </w:r>
      <w:r w:rsidR="00D81195">
        <w:t>2</w:t>
      </w:r>
      <w:r>
        <w:t xml:space="preserve"> was of significance to the persons involved. Some were of significance to a larger audience. Listed below are some of </w:t>
      </w:r>
      <w:r w:rsidR="00153FF7">
        <w:t>those</w:t>
      </w:r>
      <w:r>
        <w:t xml:space="preserve"> decisions and actions</w:t>
      </w:r>
      <w:r w:rsidR="00F524F0">
        <w:t>:</w:t>
      </w:r>
    </w:p>
    <w:p w14:paraId="2075B4F6" w14:textId="3D0DE8A5" w:rsidR="00493EAB" w:rsidRDefault="000F5E2B" w:rsidP="00273C92">
      <w:pPr>
        <w:spacing w:line="480" w:lineRule="auto"/>
        <w:ind w:firstLine="720"/>
      </w:pPr>
      <w:r w:rsidRPr="001903C4">
        <w:rPr>
          <w:b/>
          <w:bCs/>
          <w:u w:val="single"/>
        </w:rPr>
        <w:t>Proceedings related to COVID-19</w:t>
      </w:r>
      <w:r w:rsidR="00B624D0">
        <w:rPr>
          <w:b/>
          <w:bCs/>
        </w:rPr>
        <w:t>.</w:t>
      </w:r>
      <w:r w:rsidR="00E77F31">
        <w:t xml:space="preserve"> </w:t>
      </w:r>
    </w:p>
    <w:p w14:paraId="157188A6" w14:textId="02728376" w:rsidR="000F5E2B" w:rsidRDefault="00A16EE1" w:rsidP="000538D5">
      <w:pPr>
        <w:pStyle w:val="ListParagraph"/>
        <w:numPr>
          <w:ilvl w:val="0"/>
          <w:numId w:val="13"/>
        </w:numPr>
        <w:spacing w:line="480" w:lineRule="auto"/>
        <w:ind w:left="1440"/>
      </w:pPr>
      <w:r>
        <w:t>T</w:t>
      </w:r>
      <w:r w:rsidRPr="00B00C14">
        <w:t>o reduce the risk of exposure to COVID-19</w:t>
      </w:r>
      <w:r w:rsidR="00493EAB">
        <w:t>, we</w:t>
      </w:r>
      <w:r w:rsidR="000F5E2B">
        <w:t xml:space="preserve"> issued a number of orders</w:t>
      </w:r>
      <w:r>
        <w:t xml:space="preserve"> </w:t>
      </w:r>
      <w:r w:rsidR="000F5E2B">
        <w:t xml:space="preserve">and </w:t>
      </w:r>
      <w:r>
        <w:t xml:space="preserve">two </w:t>
      </w:r>
      <w:r w:rsidR="000F5E2B">
        <w:t xml:space="preserve">emergency rules </w:t>
      </w:r>
      <w:r w:rsidR="00493EAB">
        <w:t xml:space="preserve">to modify </w:t>
      </w:r>
      <w:r w:rsidR="00493EAB" w:rsidRPr="00B00C14">
        <w:t xml:space="preserve">various filing and procedural requirements and provide alternative procedures to reduce or eliminate in-person contact </w:t>
      </w:r>
      <w:r w:rsidR="00F31D13">
        <w:t>among</w:t>
      </w:r>
      <w:r w:rsidR="00F31D13" w:rsidRPr="00B00C14">
        <w:t xml:space="preserve"> </w:t>
      </w:r>
      <w:r w:rsidR="00493EAB" w:rsidRPr="00B00C14">
        <w:t xml:space="preserve">members of the public and </w:t>
      </w:r>
      <w:r w:rsidR="00566722">
        <w:t xml:space="preserve">between members of the public and </w:t>
      </w:r>
      <w:r w:rsidR="00493EAB" w:rsidRPr="00B00C14">
        <w:t xml:space="preserve">Commission staff </w:t>
      </w:r>
      <w:r>
        <w:t>(Case</w:t>
      </w:r>
      <w:r w:rsidR="005B6F6E">
        <w:t>s</w:t>
      </w:r>
      <w:r>
        <w:t xml:space="preserve"> 20-0789-INV</w:t>
      </w:r>
      <w:r w:rsidR="00BA7CA3">
        <w:t>,</w:t>
      </w:r>
      <w:r>
        <w:t xml:space="preserve"> </w:t>
      </w:r>
      <w:r w:rsidR="004652C3">
        <w:t>22-1210</w:t>
      </w:r>
      <w:r>
        <w:t>-RULE</w:t>
      </w:r>
      <w:r w:rsidR="00BA7CA3">
        <w:t>,</w:t>
      </w:r>
      <w:r w:rsidR="005B6F6E">
        <w:t xml:space="preserve"> and</w:t>
      </w:r>
      <w:r>
        <w:t xml:space="preserve"> </w:t>
      </w:r>
      <w:r w:rsidR="004652C3">
        <w:t>22-4288</w:t>
      </w:r>
      <w:r>
        <w:t xml:space="preserve">-RULE). </w:t>
      </w:r>
      <w:r w:rsidR="001C038A">
        <w:t xml:space="preserve">The most recent version of Commission Emergency Rule 2.500 took effect on </w:t>
      </w:r>
      <w:r w:rsidR="004652C3">
        <w:t>September 30, 2022</w:t>
      </w:r>
      <w:r w:rsidR="001C038A">
        <w:t xml:space="preserve">, and </w:t>
      </w:r>
      <w:r w:rsidR="00BE716B">
        <w:t>was</w:t>
      </w:r>
      <w:r w:rsidR="00082DAD">
        <w:t xml:space="preserve"> renewed</w:t>
      </w:r>
      <w:r w:rsidR="001C038A">
        <w:t xml:space="preserve"> on </w:t>
      </w:r>
      <w:r w:rsidR="004652C3">
        <w:t>March 29, 2023</w:t>
      </w:r>
      <w:r w:rsidR="001C038A">
        <w:t>.</w:t>
      </w:r>
    </w:p>
    <w:p w14:paraId="49D0FC96" w14:textId="4D4A11D8" w:rsidR="00A16EE1" w:rsidRDefault="00A16EE1" w:rsidP="000538D5">
      <w:pPr>
        <w:pStyle w:val="ListParagraph"/>
        <w:numPr>
          <w:ilvl w:val="0"/>
          <w:numId w:val="13"/>
        </w:numPr>
        <w:spacing w:line="480" w:lineRule="auto"/>
        <w:ind w:left="1440"/>
      </w:pPr>
      <w:r>
        <w:t xml:space="preserve">We adopted </w:t>
      </w:r>
      <w:r w:rsidR="001843BA">
        <w:t>two more</w:t>
      </w:r>
      <w:r>
        <w:t xml:space="preserve"> </w:t>
      </w:r>
      <w:r w:rsidRPr="000538D5">
        <w:t>emergency rule</w:t>
      </w:r>
      <w:r w:rsidR="001843BA">
        <w:t>s</w:t>
      </w:r>
      <w:r w:rsidRPr="000538D5">
        <w:t xml:space="preserve"> </w:t>
      </w:r>
      <w:r>
        <w:t xml:space="preserve">to provide enhanced consumer protections to </w:t>
      </w:r>
      <w:r w:rsidR="00E73AB7">
        <w:t xml:space="preserve">utility </w:t>
      </w:r>
      <w:r>
        <w:t>customers experiencing financial hardship due to COVID-19</w:t>
      </w:r>
      <w:r w:rsidR="001C038A">
        <w:t xml:space="preserve"> (Case</w:t>
      </w:r>
      <w:r w:rsidR="00BA7CA3">
        <w:t>s</w:t>
      </w:r>
      <w:r w:rsidR="001C038A">
        <w:t xml:space="preserve"> </w:t>
      </w:r>
      <w:r w:rsidR="004652C3">
        <w:t>22-0013</w:t>
      </w:r>
      <w:r w:rsidR="001C038A">
        <w:t>-RULE</w:t>
      </w:r>
      <w:r w:rsidR="001843BA">
        <w:t xml:space="preserve"> and 22-</w:t>
      </w:r>
      <w:r w:rsidR="004652C3">
        <w:t>2540</w:t>
      </w:r>
      <w:r w:rsidR="001843BA">
        <w:t>-RULE</w:t>
      </w:r>
      <w:r w:rsidR="001C038A">
        <w:t>)</w:t>
      </w:r>
      <w:r>
        <w:t>. Th</w:t>
      </w:r>
      <w:r w:rsidR="001C038A">
        <w:t>is</w:t>
      </w:r>
      <w:r>
        <w:t xml:space="preserve"> emergency rule also </w:t>
      </w:r>
      <w:r w:rsidRPr="000538D5">
        <w:t>amend</w:t>
      </w:r>
      <w:r w:rsidR="004652C3">
        <w:t>ed</w:t>
      </w:r>
      <w:r w:rsidRPr="000538D5">
        <w:t xml:space="preserve"> various procedural requirements to reduce or eliminate in-person contact between </w:t>
      </w:r>
      <w:r w:rsidRPr="000538D5">
        <w:lastRenderedPageBreak/>
        <w:t>members of the public and utility staff to reduce the risk of exposure to COVID-19.</w:t>
      </w:r>
      <w:r w:rsidR="001C038A">
        <w:t xml:space="preserve"> </w:t>
      </w:r>
      <w:r w:rsidR="001843BA">
        <w:t xml:space="preserve">The most recent version of </w:t>
      </w:r>
      <w:r w:rsidR="001C038A">
        <w:t>Commission Emergency Rule 2.600 expire</w:t>
      </w:r>
      <w:r w:rsidR="004652C3">
        <w:t>d</w:t>
      </w:r>
      <w:r w:rsidR="001C038A">
        <w:t xml:space="preserve"> on </w:t>
      </w:r>
      <w:r w:rsidR="004652C3">
        <w:t>December 28</w:t>
      </w:r>
      <w:r w:rsidR="00F8593E">
        <w:t>, 2022</w:t>
      </w:r>
      <w:r w:rsidR="001C038A">
        <w:t>.</w:t>
      </w:r>
    </w:p>
    <w:p w14:paraId="26564E36" w14:textId="77777777" w:rsidR="00845AD3" w:rsidRDefault="005E2E92" w:rsidP="00845AD3">
      <w:pPr>
        <w:spacing w:line="480" w:lineRule="auto"/>
        <w:ind w:firstLine="720"/>
      </w:pPr>
      <w:r>
        <w:rPr>
          <w:b/>
          <w:bCs/>
          <w:u w:val="single"/>
        </w:rPr>
        <w:t>Procedural Rules.</w:t>
      </w:r>
      <w:r>
        <w:t xml:space="preserve">  </w:t>
      </w:r>
    </w:p>
    <w:p w14:paraId="43AD55F8" w14:textId="6CC8294E" w:rsidR="005E2E92" w:rsidRPr="005E2E92" w:rsidRDefault="005E2E92" w:rsidP="00845AD3">
      <w:pPr>
        <w:pStyle w:val="ListParagraph"/>
        <w:numPr>
          <w:ilvl w:val="0"/>
          <w:numId w:val="16"/>
        </w:numPr>
        <w:spacing w:line="480" w:lineRule="auto"/>
      </w:pPr>
      <w:r>
        <w:t xml:space="preserve">For the first time in </w:t>
      </w:r>
      <w:r w:rsidR="00BA7CA3">
        <w:t>almost</w:t>
      </w:r>
      <w:r>
        <w:t xml:space="preserve"> 40 years, we comprehensively updated Commission Rule 2.000, which sets out the rules of practice and procedure before the Commission (Case 20-2369-RULE).  The updates:  (1) reflect the implementation of the Commission’s electronic filing system, (2) more clearly identify the portions of the Vermont Rules of Civil Procedure that apply in Commission proceedings, (3) better facilitate public participation by non-lawyers in Commission proceedings by incorporating all rules of procedure into a single source and clarifying their meaning and application, </w:t>
      </w:r>
      <w:r w:rsidR="00397598">
        <w:t xml:space="preserve">thereby </w:t>
      </w:r>
      <w:r>
        <w:t>making it easier for public participants to understand what rules apply, and (4) incorporate certain procedural changes that were made on an emergency basis during the COVID-19 pandemic, including clarifying that the Commission may hold status conferences and hearings remotely (and allow remote participation even at in-person hearings) and that parties may file documents without notarization.</w:t>
      </w:r>
    </w:p>
    <w:p w14:paraId="45B26E7D" w14:textId="5633A618" w:rsidR="004A1D22" w:rsidRDefault="006D0DE5" w:rsidP="004A1D22">
      <w:pPr>
        <w:spacing w:line="480" w:lineRule="auto"/>
        <w:ind w:firstLine="720"/>
        <w:rPr>
          <w:bCs/>
        </w:rPr>
      </w:pPr>
      <w:r w:rsidRPr="000538D5">
        <w:rPr>
          <w:b/>
          <w:u w:val="single"/>
        </w:rPr>
        <w:t>Siting.</w:t>
      </w:r>
      <w:r>
        <w:rPr>
          <w:b/>
        </w:rPr>
        <w:t xml:space="preserve"> </w:t>
      </w:r>
      <w:r w:rsidRPr="006D0DE5">
        <w:rPr>
          <w:bCs/>
        </w:rPr>
        <w:t>We addressed a number of recurring issues in siting proceedings, including:</w:t>
      </w:r>
    </w:p>
    <w:p w14:paraId="79E2D833" w14:textId="4473BC16" w:rsidR="005B6F6E" w:rsidRDefault="005B6F6E" w:rsidP="005B6F6E">
      <w:pPr>
        <w:pStyle w:val="ListParagraph"/>
        <w:numPr>
          <w:ilvl w:val="0"/>
          <w:numId w:val="7"/>
        </w:numPr>
        <w:spacing w:line="480" w:lineRule="auto"/>
        <w:rPr>
          <w:rFonts w:eastAsia="Times New Roman"/>
        </w:rPr>
      </w:pPr>
      <w:r>
        <w:rPr>
          <w:rFonts w:eastAsia="Times New Roman"/>
        </w:rPr>
        <w:t>When two generation facilities are sufficiently related that they should be treated as one plant (e.g., Cases 22-3169-PET, 22-2415-INV, 22-2910-NMR, 22-1923-NMR/22-1917-NMR, 22-1885-NMR, 22-0682-NMP, 22-0625-NMR, 22-0292-NMR, 22-0196-NMR, 22-0146-PET, 22-0800-NMR, 21-5199-NMR, 21-4014-INV, 21-3833-NMR, 21-3360-NMP, 21-3236-NMR/21-3238-NMR/21-3239-</w:t>
      </w:r>
      <w:r>
        <w:rPr>
          <w:rFonts w:eastAsia="Times New Roman"/>
        </w:rPr>
        <w:lastRenderedPageBreak/>
        <w:t xml:space="preserve">NMR/21-3241-NMR, 21-0186-NMP, 21-0099-NMP, 20-3530-NMP). These determinations are part of the Commission’s implementation of programs created by the Legislature that provide financial incentives to small renewable generation facilities. The determinations ensure that only those </w:t>
      </w:r>
      <w:r w:rsidR="00BE716B">
        <w:rPr>
          <w:rFonts w:eastAsia="Times New Roman"/>
        </w:rPr>
        <w:t xml:space="preserve">smaller </w:t>
      </w:r>
      <w:r>
        <w:rPr>
          <w:rFonts w:eastAsia="Times New Roman"/>
        </w:rPr>
        <w:t>facilities eligible for the financial incentives receive them.</w:t>
      </w:r>
    </w:p>
    <w:p w14:paraId="277C794F" w14:textId="558C8112" w:rsidR="004A1D22" w:rsidRPr="00EE7F46" w:rsidRDefault="004A1D22" w:rsidP="004A1D22">
      <w:pPr>
        <w:pStyle w:val="ListParagraph"/>
        <w:numPr>
          <w:ilvl w:val="0"/>
          <w:numId w:val="7"/>
        </w:numPr>
        <w:spacing w:line="480" w:lineRule="auto"/>
        <w:rPr>
          <w:bCs/>
        </w:rPr>
      </w:pPr>
      <w:r w:rsidRPr="001C7B6F">
        <w:t>The impact of new generation in a grid-constrained area of northern Vermont.</w:t>
      </w:r>
      <w:r w:rsidR="009E0386" w:rsidRPr="001C7B6F">
        <w:rPr>
          <w:rFonts w:eastAsia="Times New Roman"/>
        </w:rPr>
        <w:t> In 202</w:t>
      </w:r>
      <w:r w:rsidR="005C049E">
        <w:rPr>
          <w:rFonts w:eastAsia="Times New Roman"/>
        </w:rPr>
        <w:t>2</w:t>
      </w:r>
      <w:r w:rsidR="009E0386" w:rsidRPr="001C7B6F">
        <w:rPr>
          <w:rFonts w:eastAsia="Times New Roman"/>
        </w:rPr>
        <w:t>, the</w:t>
      </w:r>
      <w:r w:rsidR="009E0386">
        <w:rPr>
          <w:rFonts w:eastAsia="Times New Roman"/>
        </w:rPr>
        <w:t xml:space="preserve"> Commission approved the use of a </w:t>
      </w:r>
      <w:r w:rsidR="005C049E">
        <w:rPr>
          <w:rFonts w:eastAsia="Times New Roman"/>
        </w:rPr>
        <w:t>“</w:t>
      </w:r>
      <w:r w:rsidR="009E0386">
        <w:rPr>
          <w:rFonts w:eastAsia="Times New Roman"/>
        </w:rPr>
        <w:t>grid adjustor</w:t>
      </w:r>
      <w:r w:rsidR="005C049E">
        <w:rPr>
          <w:rFonts w:eastAsia="Times New Roman"/>
        </w:rPr>
        <w:t>” (payments by developers of new renewable generation facilities to utilities whose existing renewable generation facilities could be curtailed during certain times as a result of the new generation)</w:t>
      </w:r>
      <w:r w:rsidR="009E0386">
        <w:rPr>
          <w:rFonts w:eastAsia="Times New Roman"/>
        </w:rPr>
        <w:t xml:space="preserve"> when issuing net-metering CPGs in </w:t>
      </w:r>
      <w:r w:rsidR="009E0386" w:rsidRPr="00082DAD">
        <w:rPr>
          <w:rFonts w:eastAsia="Times New Roman"/>
        </w:rPr>
        <w:t>Cases</w:t>
      </w:r>
      <w:r w:rsidR="005C049E" w:rsidRPr="00082DAD">
        <w:rPr>
          <w:rFonts w:eastAsia="Times New Roman"/>
        </w:rPr>
        <w:t xml:space="preserve"> 21-3154-NM</w:t>
      </w:r>
      <w:r w:rsidR="00D144BE">
        <w:rPr>
          <w:rFonts w:eastAsia="Times New Roman"/>
        </w:rPr>
        <w:t xml:space="preserve">, 22-2277-NMP, </w:t>
      </w:r>
      <w:r w:rsidR="00082DAD" w:rsidRPr="00082DAD">
        <w:rPr>
          <w:rFonts w:eastAsia="Times New Roman"/>
        </w:rPr>
        <w:t>and</w:t>
      </w:r>
      <w:r w:rsidR="005C049E" w:rsidRPr="00082DAD">
        <w:rPr>
          <w:rFonts w:eastAsia="Times New Roman"/>
        </w:rPr>
        <w:t xml:space="preserve"> 22-3873-NMP</w:t>
      </w:r>
      <w:r w:rsidR="009E0386" w:rsidRPr="00082DAD">
        <w:rPr>
          <w:rFonts w:eastAsia="Times New Roman"/>
        </w:rPr>
        <w:t>.</w:t>
      </w:r>
      <w:r w:rsidR="005C049E">
        <w:rPr>
          <w:rFonts w:eastAsia="Times New Roman"/>
        </w:rPr>
        <w:t xml:space="preserve">  The purpose of the grid adjustor is to protect utility customers from the economic harms presented by building additional generation in this grid-constrained area</w:t>
      </w:r>
      <w:r w:rsidR="00BE716B">
        <w:rPr>
          <w:rFonts w:eastAsia="Times New Roman"/>
        </w:rPr>
        <w:t xml:space="preserve"> while allowing continued expansion of renewable energy</w:t>
      </w:r>
      <w:r w:rsidR="005C049E">
        <w:rPr>
          <w:rFonts w:eastAsia="Times New Roman"/>
        </w:rPr>
        <w:t>.</w:t>
      </w:r>
    </w:p>
    <w:p w14:paraId="12A9EA36" w14:textId="28FA98AE" w:rsidR="008F5DC5" w:rsidRPr="00FF7B22" w:rsidRDefault="002027C6" w:rsidP="00FF7B22">
      <w:pPr>
        <w:spacing w:line="480" w:lineRule="auto"/>
      </w:pPr>
      <w:r>
        <w:t>We expect that these issues will continue to arise in future cases.</w:t>
      </w:r>
    </w:p>
    <w:p w14:paraId="2E380D5D" w14:textId="1AD1B7E0" w:rsidR="00653A2F" w:rsidRDefault="00653A2F" w:rsidP="004A1D22">
      <w:pPr>
        <w:spacing w:line="480" w:lineRule="auto"/>
      </w:pPr>
      <w:r>
        <w:tab/>
      </w:r>
      <w:r w:rsidRPr="000538D5">
        <w:rPr>
          <w:b/>
          <w:bCs/>
          <w:u w:val="single"/>
        </w:rPr>
        <w:t>Compliance with CPGs</w:t>
      </w:r>
      <w:r w:rsidRPr="000538D5">
        <w:rPr>
          <w:u w:val="single"/>
        </w:rPr>
        <w:t>.</w:t>
      </w:r>
      <w:r>
        <w:t xml:space="preserve"> We conducted several investigations into whether a CPG holder </w:t>
      </w:r>
      <w:r w:rsidR="00F0147D">
        <w:t xml:space="preserve">had </w:t>
      </w:r>
      <w:r>
        <w:t>complied with the conditions of its CPG, including:</w:t>
      </w:r>
    </w:p>
    <w:p w14:paraId="4245EA30" w14:textId="52D95DBE" w:rsidR="00653A2F" w:rsidRPr="0009411F" w:rsidRDefault="00E91CC9" w:rsidP="00653A2F">
      <w:pPr>
        <w:pStyle w:val="ListParagraph"/>
        <w:numPr>
          <w:ilvl w:val="0"/>
          <w:numId w:val="10"/>
        </w:numPr>
        <w:spacing w:line="480" w:lineRule="auto"/>
      </w:pPr>
      <w:r w:rsidRPr="0009411F">
        <w:t>Two investigations into matters related to the construction of the Addison Natural Gas Pipeline</w:t>
      </w:r>
      <w:r w:rsidR="00336D78" w:rsidRPr="0009411F">
        <w:t xml:space="preserve"> (Case</w:t>
      </w:r>
      <w:r w:rsidR="003C6990" w:rsidRPr="0009411F">
        <w:t>s</w:t>
      </w:r>
      <w:r w:rsidR="00336D78" w:rsidRPr="0009411F">
        <w:t xml:space="preserve"> 17-3550-INV</w:t>
      </w:r>
      <w:r w:rsidR="00AD6856">
        <w:t xml:space="preserve"> and</w:t>
      </w:r>
      <w:r w:rsidR="003C6990" w:rsidRPr="0009411F">
        <w:t xml:space="preserve"> 18-0395-PET</w:t>
      </w:r>
      <w:r w:rsidR="00336D78" w:rsidRPr="0009411F">
        <w:t>)</w:t>
      </w:r>
      <w:r w:rsidRPr="0009411F">
        <w:t xml:space="preserve">. </w:t>
      </w:r>
      <w:r w:rsidR="0044549B" w:rsidRPr="0009411F">
        <w:t>P</w:t>
      </w:r>
      <w:r w:rsidRPr="0009411F">
        <w:t xml:space="preserve">roceedings in </w:t>
      </w:r>
      <w:r w:rsidR="003C6990" w:rsidRPr="0009411F">
        <w:t xml:space="preserve">both cases </w:t>
      </w:r>
      <w:r w:rsidRPr="0009411F">
        <w:t>will continue in 202</w:t>
      </w:r>
      <w:r w:rsidR="00FF4B3F">
        <w:t>3</w:t>
      </w:r>
      <w:r w:rsidRPr="0009411F">
        <w:t>.</w:t>
      </w:r>
    </w:p>
    <w:p w14:paraId="40EEACE6" w14:textId="4066576A" w:rsidR="00D16A43" w:rsidRDefault="00FF4B3F" w:rsidP="00A86BD7">
      <w:pPr>
        <w:pStyle w:val="ListParagraph"/>
        <w:numPr>
          <w:ilvl w:val="0"/>
          <w:numId w:val="10"/>
        </w:numPr>
        <w:spacing w:line="480" w:lineRule="auto"/>
      </w:pPr>
      <w:r>
        <w:t>One i</w:t>
      </w:r>
      <w:r w:rsidR="00E91CC9" w:rsidRPr="00810182">
        <w:t xml:space="preserve">nvestigation into </w:t>
      </w:r>
      <w:r>
        <w:t>a</w:t>
      </w:r>
      <w:r w:rsidRPr="000538D5">
        <w:t xml:space="preserve"> </w:t>
      </w:r>
      <w:r w:rsidR="00E91CC9" w:rsidRPr="00F847E0">
        <w:t xml:space="preserve">large solar </w:t>
      </w:r>
      <w:r w:rsidRPr="000538D5">
        <w:t>facilit</w:t>
      </w:r>
      <w:r>
        <w:t>y</w:t>
      </w:r>
      <w:r w:rsidRPr="000538D5">
        <w:t>’</w:t>
      </w:r>
      <w:r>
        <w:t>s</w:t>
      </w:r>
      <w:r w:rsidRPr="000538D5">
        <w:t xml:space="preserve"> </w:t>
      </w:r>
      <w:r w:rsidR="00DD32B1" w:rsidRPr="000538D5">
        <w:t xml:space="preserve">compliance with </w:t>
      </w:r>
      <w:r w:rsidR="00397598">
        <w:t xml:space="preserve">its </w:t>
      </w:r>
      <w:r w:rsidR="00DD32B1" w:rsidRPr="000538D5">
        <w:t xml:space="preserve">CPG requirements </w:t>
      </w:r>
      <w:r w:rsidR="00EB7D49" w:rsidRPr="000538D5">
        <w:t xml:space="preserve">(Case </w:t>
      </w:r>
      <w:r>
        <w:t>22-4144-INV</w:t>
      </w:r>
      <w:r w:rsidR="00EB7D49" w:rsidRPr="000538D5">
        <w:t>).</w:t>
      </w:r>
    </w:p>
    <w:p w14:paraId="4566302B" w14:textId="1EB95D76" w:rsidR="003874A6" w:rsidRDefault="00D16A43" w:rsidP="00A86BD7">
      <w:pPr>
        <w:pStyle w:val="ListParagraph"/>
        <w:numPr>
          <w:ilvl w:val="0"/>
          <w:numId w:val="10"/>
        </w:numPr>
        <w:spacing w:line="480" w:lineRule="auto"/>
      </w:pPr>
      <w:r>
        <w:lastRenderedPageBreak/>
        <w:t xml:space="preserve">One investigation into whether a net-metering facility was operated in compliance with </w:t>
      </w:r>
      <w:r w:rsidR="00397598">
        <w:t xml:space="preserve">its </w:t>
      </w:r>
      <w:r>
        <w:t>CPG requirements (Case 22-4664-INV).</w:t>
      </w:r>
      <w:r w:rsidR="00702F4B">
        <w:t xml:space="preserve"> </w:t>
      </w:r>
    </w:p>
    <w:p w14:paraId="100CCA9C" w14:textId="77E97FC3" w:rsidR="00D16A43" w:rsidRPr="005907C9" w:rsidRDefault="00FF4B3F" w:rsidP="00D16A43">
      <w:pPr>
        <w:pStyle w:val="ListParagraph"/>
        <w:numPr>
          <w:ilvl w:val="0"/>
          <w:numId w:val="10"/>
        </w:numPr>
        <w:spacing w:line="480" w:lineRule="auto"/>
      </w:pPr>
      <w:r>
        <w:t>Two</w:t>
      </w:r>
      <w:r w:rsidRPr="005907C9">
        <w:t xml:space="preserve"> </w:t>
      </w:r>
      <w:r w:rsidR="006D2EFC" w:rsidRPr="005907C9">
        <w:t>investigation</w:t>
      </w:r>
      <w:r>
        <w:t>s</w:t>
      </w:r>
      <w:r w:rsidR="006D2EFC" w:rsidRPr="005907C9">
        <w:t xml:space="preserve"> into </w:t>
      </w:r>
      <w:r w:rsidR="006B6983" w:rsidRPr="005907C9">
        <w:t xml:space="preserve">whether </w:t>
      </w:r>
      <w:r w:rsidR="006D2EFC" w:rsidRPr="005907C9">
        <w:t>net-metering solar facilit</w:t>
      </w:r>
      <w:r>
        <w:t>ies</w:t>
      </w:r>
      <w:r w:rsidR="006D2EFC" w:rsidRPr="005907C9">
        <w:t xml:space="preserve"> </w:t>
      </w:r>
      <w:r w:rsidR="006B6983" w:rsidRPr="005907C9">
        <w:t>w</w:t>
      </w:r>
      <w:r>
        <w:t>ere</w:t>
      </w:r>
      <w:r w:rsidR="006B6983" w:rsidRPr="005907C9">
        <w:t xml:space="preserve"> constructed </w:t>
      </w:r>
      <w:r w:rsidR="00D01BEB" w:rsidRPr="005907C9">
        <w:t xml:space="preserve">in accordance </w:t>
      </w:r>
      <w:r w:rsidR="00210FAE" w:rsidRPr="005907C9">
        <w:t>with the facilit</w:t>
      </w:r>
      <w:r>
        <w:t>ies’</w:t>
      </w:r>
      <w:r w:rsidR="00210FAE" w:rsidRPr="005907C9">
        <w:t xml:space="preserve"> approved plans </w:t>
      </w:r>
      <w:r w:rsidR="006D2EFC" w:rsidRPr="005907C9">
        <w:t>(Case</w:t>
      </w:r>
      <w:r>
        <w:t>s</w:t>
      </w:r>
      <w:r w:rsidR="006D2EFC" w:rsidRPr="005907C9">
        <w:t xml:space="preserve"> 21-5111-INV</w:t>
      </w:r>
      <w:r w:rsidR="00AD6856">
        <w:t xml:space="preserve"> and</w:t>
      </w:r>
      <w:r>
        <w:t xml:space="preserve"> 22-4769-INV</w:t>
      </w:r>
      <w:r w:rsidR="006D2EFC" w:rsidRPr="005907C9">
        <w:t>).</w:t>
      </w:r>
      <w:r w:rsidR="00E77F31">
        <w:t xml:space="preserve"> </w:t>
      </w:r>
      <w:r w:rsidR="00D16A43">
        <w:t xml:space="preserve"> </w:t>
      </w:r>
    </w:p>
    <w:p w14:paraId="61CE83BA" w14:textId="2D9B7831" w:rsidR="000854CA" w:rsidRDefault="00D16A43" w:rsidP="006D2EFC">
      <w:pPr>
        <w:pStyle w:val="ListParagraph"/>
        <w:numPr>
          <w:ilvl w:val="0"/>
          <w:numId w:val="10"/>
        </w:numPr>
        <w:spacing w:line="480" w:lineRule="auto"/>
      </w:pPr>
      <w:r>
        <w:t xml:space="preserve">Two </w:t>
      </w:r>
      <w:r w:rsidR="000854CA">
        <w:t xml:space="preserve">investigations </w:t>
      </w:r>
      <w:r w:rsidR="00C107AD">
        <w:t xml:space="preserve">of small net-metering solar facilities that </w:t>
      </w:r>
      <w:r w:rsidR="00706878">
        <w:t xml:space="preserve">were constructed before receiving a </w:t>
      </w:r>
      <w:r w:rsidR="00397598">
        <w:t>CPG</w:t>
      </w:r>
      <w:r w:rsidR="00706878">
        <w:t xml:space="preserve"> (Cases</w:t>
      </w:r>
      <w:r>
        <w:t xml:space="preserve"> 22-4665-INV</w:t>
      </w:r>
      <w:r w:rsidR="00AD6856">
        <w:t xml:space="preserve"> and</w:t>
      </w:r>
      <w:r>
        <w:t xml:space="preserve"> 22-4977-INV</w:t>
      </w:r>
      <w:r w:rsidR="00AF786D">
        <w:t>).</w:t>
      </w:r>
    </w:p>
    <w:p w14:paraId="6BF6C17B" w14:textId="405EB8C8" w:rsidR="00EB7D49" w:rsidRPr="0009411F" w:rsidRDefault="00B21AC8" w:rsidP="000538D5">
      <w:pPr>
        <w:pStyle w:val="ListParagraph"/>
        <w:numPr>
          <w:ilvl w:val="0"/>
          <w:numId w:val="10"/>
        </w:numPr>
        <w:spacing w:line="480" w:lineRule="auto"/>
      </w:pPr>
      <w:r>
        <w:t>Further proceedings related to a</w:t>
      </w:r>
      <w:r w:rsidR="00A86BD7">
        <w:t>n</w:t>
      </w:r>
      <w:r w:rsidR="007C5AD7" w:rsidRPr="0009411F">
        <w:t xml:space="preserve"> </w:t>
      </w:r>
      <w:r w:rsidR="003B0AE7" w:rsidRPr="0009411F">
        <w:t>injunction</w:t>
      </w:r>
      <w:r w:rsidR="007C5AD7" w:rsidRPr="0009411F">
        <w:t xml:space="preserve"> to prevent site clearing at a location </w:t>
      </w:r>
      <w:r w:rsidR="0045471B" w:rsidRPr="0009411F">
        <w:t xml:space="preserve">for a proposed generation facility </w:t>
      </w:r>
      <w:r w:rsidR="007C5AD7" w:rsidRPr="0009411F">
        <w:t xml:space="preserve">that did not have a </w:t>
      </w:r>
      <w:r w:rsidR="00397598">
        <w:t>CPG</w:t>
      </w:r>
      <w:r w:rsidR="007C5AD7" w:rsidRPr="0009411F">
        <w:t xml:space="preserve"> (Case 20-</w:t>
      </w:r>
      <w:r w:rsidR="0081079E" w:rsidRPr="0009411F">
        <w:t>1611-INV).</w:t>
      </w:r>
      <w:r w:rsidR="00702F4B" w:rsidRPr="0009411F">
        <w:t xml:space="preserve"> Related proceedings will continue in 202</w:t>
      </w:r>
      <w:r w:rsidR="00D16A43">
        <w:t>3</w:t>
      </w:r>
      <w:r w:rsidR="00702F4B" w:rsidRPr="0009411F">
        <w:t>.</w:t>
      </w:r>
    </w:p>
    <w:p w14:paraId="5ACF2632" w14:textId="5E87F3F8" w:rsidR="00EB7D49" w:rsidRDefault="00EB7D49" w:rsidP="000538D5">
      <w:pPr>
        <w:spacing w:line="480" w:lineRule="auto"/>
        <w:ind w:firstLine="720"/>
        <w:rPr>
          <w:b/>
          <w:bCs/>
        </w:rPr>
      </w:pPr>
      <w:r w:rsidRPr="001903C4">
        <w:rPr>
          <w:b/>
          <w:bCs/>
          <w:u w:val="single"/>
        </w:rPr>
        <w:t>Compliance with Standard-Offer Contract Requirements</w:t>
      </w:r>
      <w:r>
        <w:rPr>
          <w:b/>
          <w:bCs/>
        </w:rPr>
        <w:t>:</w:t>
      </w:r>
    </w:p>
    <w:p w14:paraId="103AF040" w14:textId="3DE51AB9" w:rsidR="00744DA4" w:rsidRPr="00AF1CE3" w:rsidRDefault="00EB7D49" w:rsidP="004D2A47">
      <w:pPr>
        <w:pStyle w:val="ListParagraph"/>
        <w:numPr>
          <w:ilvl w:val="0"/>
          <w:numId w:val="12"/>
        </w:numPr>
        <w:spacing w:line="480" w:lineRule="auto"/>
        <w:ind w:left="1440"/>
      </w:pPr>
      <w:r w:rsidRPr="005750A4">
        <w:t xml:space="preserve">We processed several cases </w:t>
      </w:r>
      <w:r w:rsidR="0045471B" w:rsidRPr="005750A4">
        <w:t>involving</w:t>
      </w:r>
      <w:r w:rsidRPr="005750A4">
        <w:t xml:space="preserve"> </w:t>
      </w:r>
      <w:r w:rsidR="000D40FA" w:rsidRPr="000901EA">
        <w:t xml:space="preserve">requests for </w:t>
      </w:r>
      <w:r w:rsidR="003E0BCA">
        <w:t xml:space="preserve">an </w:t>
      </w:r>
      <w:r w:rsidR="000D40FA" w:rsidRPr="000901EA">
        <w:t>extension</w:t>
      </w:r>
      <w:r w:rsidR="00F24BFD" w:rsidRPr="000901EA">
        <w:t xml:space="preserve"> of the </w:t>
      </w:r>
      <w:r w:rsidR="004D2A47" w:rsidRPr="000901EA">
        <w:t xml:space="preserve">CPG application milestone or the </w:t>
      </w:r>
      <w:r w:rsidR="00F24BFD" w:rsidRPr="000901EA">
        <w:t>commissioning milestone included in</w:t>
      </w:r>
      <w:r w:rsidRPr="005750A4">
        <w:t xml:space="preserve"> standard-offer contracts (Cases</w:t>
      </w:r>
      <w:r w:rsidR="00F24BFD" w:rsidRPr="000901EA">
        <w:t xml:space="preserve"> </w:t>
      </w:r>
      <w:r w:rsidR="00AD6856">
        <w:t>21-3810-PET; 21-5032-PET; 21-5116-PET; 21-5223-PET; 22-0061-PET; 22-0087-PET; 22-0146-PET; 22-4374-PET; 22-4543-PET; 22-4644-PET; 22-4645-PET; and 22-4873-PET</w:t>
      </w:r>
      <w:r w:rsidRPr="005750A4">
        <w:t>).</w:t>
      </w:r>
      <w:r w:rsidR="00ED7852">
        <w:t xml:space="preserve"> </w:t>
      </w:r>
      <w:r w:rsidR="00C13853">
        <w:t xml:space="preserve">Many of these </w:t>
      </w:r>
      <w:r w:rsidR="00F525EE">
        <w:t xml:space="preserve">requests for extensions noted global </w:t>
      </w:r>
      <w:r w:rsidR="009F42D3">
        <w:t>supply-</w:t>
      </w:r>
      <w:r w:rsidR="00F525EE">
        <w:t xml:space="preserve">chain </w:t>
      </w:r>
      <w:r w:rsidR="00F51231">
        <w:t xml:space="preserve">difficulties related to the COVID-19 pandemic. </w:t>
      </w:r>
      <w:r w:rsidR="00ED7852">
        <w:t xml:space="preserve">Proceedings </w:t>
      </w:r>
      <w:r w:rsidR="00D80EAE">
        <w:t xml:space="preserve">are ongoing in </w:t>
      </w:r>
      <w:r w:rsidR="00AD6856">
        <w:t xml:space="preserve">one </w:t>
      </w:r>
      <w:r w:rsidR="00D80EAE">
        <w:t xml:space="preserve">more case involving such </w:t>
      </w:r>
      <w:r w:rsidR="00904F35">
        <w:t xml:space="preserve">a </w:t>
      </w:r>
      <w:r w:rsidR="00D80EAE">
        <w:t xml:space="preserve">request (Case </w:t>
      </w:r>
      <w:r w:rsidR="006969FE">
        <w:t>21-1485-PET</w:t>
      </w:r>
      <w:r w:rsidR="00DC25BC">
        <w:t>).</w:t>
      </w:r>
    </w:p>
    <w:p w14:paraId="5F460DFA" w14:textId="1CEC3AE2" w:rsidR="00F07268" w:rsidRPr="000538D5" w:rsidRDefault="00273C92" w:rsidP="000538D5">
      <w:pPr>
        <w:spacing w:line="480" w:lineRule="auto"/>
        <w:ind w:firstLine="720"/>
        <w:rPr>
          <w:b/>
          <w:u w:val="single"/>
        </w:rPr>
      </w:pPr>
      <w:r w:rsidRPr="000538D5">
        <w:rPr>
          <w:b/>
          <w:u w:val="single"/>
        </w:rPr>
        <w:t>Utility Rates</w:t>
      </w:r>
      <w:r w:rsidR="00F07268" w:rsidRPr="000538D5">
        <w:rPr>
          <w:b/>
          <w:u w:val="single"/>
        </w:rPr>
        <w:t>:</w:t>
      </w:r>
    </w:p>
    <w:p w14:paraId="0D70784C" w14:textId="21A8CE2F" w:rsidR="00C24663" w:rsidRDefault="00FA2739" w:rsidP="000D48E9">
      <w:pPr>
        <w:pStyle w:val="ListParagraph"/>
        <w:numPr>
          <w:ilvl w:val="0"/>
          <w:numId w:val="5"/>
        </w:numPr>
        <w:spacing w:line="480" w:lineRule="auto"/>
        <w:ind w:left="1440"/>
      </w:pPr>
      <w:bookmarkStart w:id="2" w:name="_Hlk63759662"/>
      <w:r>
        <w:t xml:space="preserve">We approved the creation of a newly formed public service company that </w:t>
      </w:r>
      <w:r w:rsidR="00397598">
        <w:t xml:space="preserve">will </w:t>
      </w:r>
      <w:r>
        <w:t xml:space="preserve">provide electricity – GF Power LLC, which is a wholly owned subsidiary of GlobalFoundries U.S. 2, LLC (Case 21-1107-PET).  </w:t>
      </w:r>
      <w:r w:rsidR="00E918E9">
        <w:t xml:space="preserve">The newly formed utility </w:t>
      </w:r>
      <w:r w:rsidR="00E918E9">
        <w:lastRenderedPageBreak/>
        <w:t xml:space="preserve">will comply with the Renewable Energy Standard and other Vermont energy and environmental </w:t>
      </w:r>
      <w:r w:rsidR="00397598">
        <w:t>requirements</w:t>
      </w:r>
      <w:r w:rsidR="00E918E9">
        <w:t xml:space="preserve">.  </w:t>
      </w:r>
      <w:r>
        <w:t xml:space="preserve">We simultaneously granted </w:t>
      </w:r>
      <w:r w:rsidR="00B624D0">
        <w:t>Green Mountain Power Corporation</w:t>
      </w:r>
      <w:r>
        <w:t xml:space="preserve">’s </w:t>
      </w:r>
      <w:r w:rsidR="00B624D0">
        <w:t xml:space="preserve">(“GMP”) </w:t>
      </w:r>
      <w:r>
        <w:t>request to modify its service territory by carving out GlobalFoundries’ Essex Campus and reassigning it to GF Power (Case 21-1109-PET).</w:t>
      </w:r>
    </w:p>
    <w:p w14:paraId="60A86463" w14:textId="08C4CC6A" w:rsidR="004019FD" w:rsidRDefault="00F756FA" w:rsidP="00F756FA">
      <w:pPr>
        <w:pStyle w:val="ListParagraph"/>
        <w:numPr>
          <w:ilvl w:val="0"/>
          <w:numId w:val="5"/>
        </w:numPr>
        <w:spacing w:line="480" w:lineRule="auto"/>
        <w:ind w:left="1440"/>
      </w:pPr>
      <w:r>
        <w:t>We approved a 2.18% increase in GMP’s base rates</w:t>
      </w:r>
      <w:r w:rsidR="00EB2DEF">
        <w:t>, effective October 1, 2022</w:t>
      </w:r>
      <w:r>
        <w:t xml:space="preserve"> </w:t>
      </w:r>
      <w:r w:rsidR="004019FD">
        <w:t xml:space="preserve">(Case 22-0175-TF).  </w:t>
      </w:r>
    </w:p>
    <w:p w14:paraId="7AF7C86B" w14:textId="1AFDA9F6" w:rsidR="00F756FA" w:rsidRDefault="004019FD" w:rsidP="00F756FA">
      <w:pPr>
        <w:pStyle w:val="ListParagraph"/>
        <w:numPr>
          <w:ilvl w:val="0"/>
          <w:numId w:val="5"/>
        </w:numPr>
        <w:spacing w:line="480" w:lineRule="auto"/>
        <w:ind w:left="1440"/>
      </w:pPr>
      <w:r>
        <w:t xml:space="preserve">We approved </w:t>
      </w:r>
      <w:r w:rsidR="00F756FA">
        <w:t>a new multi-year regulation plan that will govern GMP’s rates for four years, beginning October 1, 2022.  The multi-year regulation plan outlines a process for the annual review of rates and for periodic adjustments to rates to account for changes in power-supply costs, to account for major storm events, and to ensure that GMP does not earn substantially more or less than has been approved by the Commission.  This reduces GMP’s risk and creates rate stability for ratepayers.  The multi-year regulation plan also contains performance metrics for GMP related to service quality and innovation (Case 21-3707-PET).</w:t>
      </w:r>
    </w:p>
    <w:p w14:paraId="76136C23" w14:textId="3DE11682" w:rsidR="00BD40D9" w:rsidRDefault="00BD40D9" w:rsidP="00845AD3">
      <w:pPr>
        <w:pStyle w:val="ListParagraph"/>
        <w:numPr>
          <w:ilvl w:val="0"/>
          <w:numId w:val="5"/>
        </w:numPr>
        <w:spacing w:line="480" w:lineRule="auto"/>
        <w:ind w:left="1440"/>
      </w:pPr>
      <w:r>
        <w:t xml:space="preserve">We approved a new </w:t>
      </w:r>
      <w:r w:rsidR="00352FDD">
        <w:t xml:space="preserve">Integrated Resource Plan </w:t>
      </w:r>
      <w:r>
        <w:t>filed by GMP (Case 21-5208-PET).</w:t>
      </w:r>
    </w:p>
    <w:p w14:paraId="5EA2DCD0" w14:textId="5701B794" w:rsidR="00FA2739" w:rsidRDefault="00FA2739" w:rsidP="00FA2739">
      <w:pPr>
        <w:pStyle w:val="ListParagraph"/>
        <w:numPr>
          <w:ilvl w:val="0"/>
          <w:numId w:val="5"/>
        </w:numPr>
        <w:spacing w:line="480" w:lineRule="auto"/>
        <w:ind w:left="1440"/>
      </w:pPr>
      <w:r>
        <w:t>We approved a 7.5% increase in rates for the City of Burlington Electric Department</w:t>
      </w:r>
      <w:r w:rsidR="00B624D0">
        <w:t xml:space="preserve"> (“BED”)</w:t>
      </w:r>
      <w:r>
        <w:t xml:space="preserve"> (Case 21-2186-TF).</w:t>
      </w:r>
    </w:p>
    <w:p w14:paraId="68EF713B" w14:textId="3213CF44" w:rsidR="00C24663" w:rsidRDefault="00C24663" w:rsidP="00C24663">
      <w:pPr>
        <w:pStyle w:val="ListParagraph"/>
        <w:numPr>
          <w:ilvl w:val="0"/>
          <w:numId w:val="5"/>
        </w:numPr>
        <w:spacing w:line="480" w:lineRule="auto"/>
        <w:ind w:left="1440"/>
      </w:pPr>
      <w:r>
        <w:t xml:space="preserve">We determined that the Village of Enosburg </w:t>
      </w:r>
      <w:r w:rsidR="007202C4">
        <w:t xml:space="preserve">Falls </w:t>
      </w:r>
      <w:r>
        <w:t>Water &amp; Light’s proposed 1.97% rate increase met the criteria set forth in 30 V.S.A. § 218d(n) and allowed it to go into effect without further investigation</w:t>
      </w:r>
      <w:r w:rsidR="007202C4">
        <w:t xml:space="preserve"> (Case 22-2755-PET)</w:t>
      </w:r>
      <w:r>
        <w:t>. This was the second proposed rate increase filed under this new statutory provision, which took effect in 2021.</w:t>
      </w:r>
    </w:p>
    <w:p w14:paraId="71ECEF56" w14:textId="3011B2E9" w:rsidR="00F756FA" w:rsidRDefault="00F756FA" w:rsidP="00F756FA">
      <w:pPr>
        <w:pStyle w:val="ListParagraph"/>
        <w:numPr>
          <w:ilvl w:val="0"/>
          <w:numId w:val="5"/>
        </w:numPr>
        <w:spacing w:line="480" w:lineRule="auto"/>
        <w:ind w:left="1440"/>
      </w:pPr>
      <w:r>
        <w:lastRenderedPageBreak/>
        <w:t xml:space="preserve">We approved new tariffs for the Village of Ludlow Electric Light Department, </w:t>
      </w:r>
      <w:r w:rsidR="007202C4">
        <w:t>GMP</w:t>
      </w:r>
      <w:r>
        <w:t>, Vermont Gas Systems, Inc.</w:t>
      </w:r>
      <w:r w:rsidR="007202C4">
        <w:t xml:space="preserve"> (“VGS”)</w:t>
      </w:r>
      <w:r>
        <w:t xml:space="preserve">, Vermont Electric Cooperative, Inc. </w:t>
      </w:r>
      <w:r w:rsidR="00BA7CA3">
        <w:t xml:space="preserve">(“VEC”), </w:t>
      </w:r>
      <w:r>
        <w:t xml:space="preserve">and </w:t>
      </w:r>
      <w:r w:rsidR="007202C4">
        <w:t>BED</w:t>
      </w:r>
      <w:r>
        <w:t xml:space="preserve"> </w:t>
      </w:r>
      <w:r w:rsidR="007202C4">
        <w:t>that implement</w:t>
      </w:r>
      <w:r>
        <w:t xml:space="preserve"> a Weatherization Repayment Assistance Program (Cases 22-2997-TF; 22-3008-TF; 22-3029-TF; 22-3048-TF; and 22-5236-TF).  This program allows customers to purchase and install energy efficiency improvements with zero or reduced upfront payments.  The financed portion of the improvements is paid for over time through a tariffed charge on </w:t>
      </w:r>
      <w:r w:rsidR="007202C4">
        <w:t>the</w:t>
      </w:r>
      <w:r>
        <w:t xml:space="preserve"> customer’s utility bill that remains associated with the meter at the customer’s property until fully repaid, even if property occupancy changes hands.  These aspects of the program are intended to make weatherization more accessible to customer groups that have traditionally been difficult to reach, such as low-income Vermonters, renters, and customers without positive credit history.</w:t>
      </w:r>
    </w:p>
    <w:p w14:paraId="64A5913B" w14:textId="1DFDF499" w:rsidR="00005588" w:rsidRDefault="00005588" w:rsidP="000D48E9">
      <w:pPr>
        <w:pStyle w:val="ListParagraph"/>
        <w:numPr>
          <w:ilvl w:val="0"/>
          <w:numId w:val="5"/>
        </w:numPr>
        <w:spacing w:line="480" w:lineRule="auto"/>
        <w:ind w:left="1440"/>
      </w:pPr>
      <w:r>
        <w:t xml:space="preserve">We approved an extension of </w:t>
      </w:r>
      <w:r w:rsidR="007202C4">
        <w:t>GMP’s</w:t>
      </w:r>
      <w:r>
        <w:t xml:space="preserve"> Energy Storage System and Bring Your Own Device tariffs (21-52</w:t>
      </w:r>
      <w:r w:rsidR="00EB2DEF">
        <w:t>5</w:t>
      </w:r>
      <w:r>
        <w:t>4-TF)</w:t>
      </w:r>
      <w:r w:rsidR="00EC54DF">
        <w:t xml:space="preserve">, both of which expand the opportunity for customers to store electricity </w:t>
      </w:r>
      <w:r w:rsidR="00352FDD">
        <w:t xml:space="preserve">in home batteries </w:t>
      </w:r>
      <w:r w:rsidR="00EC54DF">
        <w:t xml:space="preserve">when the cost is low and either make it available to the utility or use it themselves </w:t>
      </w:r>
      <w:r w:rsidR="00AD2BEF">
        <w:t>later</w:t>
      </w:r>
      <w:r>
        <w:t>.  The extension requires that new Bring Your Own Device systems be able to be charged from the grid.</w:t>
      </w:r>
    </w:p>
    <w:p w14:paraId="6F4B3E3A" w14:textId="3F25EE00" w:rsidR="00F756FA" w:rsidRDefault="00F756FA" w:rsidP="00F756FA">
      <w:pPr>
        <w:pStyle w:val="ListParagraph"/>
        <w:numPr>
          <w:ilvl w:val="0"/>
          <w:numId w:val="5"/>
        </w:numPr>
        <w:spacing w:line="480" w:lineRule="auto"/>
        <w:ind w:left="1440"/>
      </w:pPr>
      <w:r>
        <w:t xml:space="preserve">We approved a new Bring Your Own Device solar-charging tariff for </w:t>
      </w:r>
      <w:r w:rsidR="007202C4">
        <w:t>GMP (Case 22-0955-TF)</w:t>
      </w:r>
      <w:r>
        <w:t xml:space="preserve">.  This tariff does not require that grid-charging be enabled and provides for lower incentives </w:t>
      </w:r>
      <w:r w:rsidR="00BA7CA3">
        <w:t xml:space="preserve">for customers </w:t>
      </w:r>
      <w:r>
        <w:t xml:space="preserve">than the Bring Your Own Device tariff </w:t>
      </w:r>
      <w:r w:rsidR="007202C4">
        <w:t>that requires</w:t>
      </w:r>
      <w:r>
        <w:t xml:space="preserve"> grid charging </w:t>
      </w:r>
      <w:r w:rsidR="007202C4">
        <w:t xml:space="preserve">to be </w:t>
      </w:r>
      <w:r>
        <w:t>enabled.</w:t>
      </w:r>
      <w:r w:rsidR="00E918E9">
        <w:t xml:space="preserve">  Systems charged exclusively from solar are eligible for an income tax credit, but are generally less available for peak-shaving.</w:t>
      </w:r>
    </w:p>
    <w:p w14:paraId="737EAE0C" w14:textId="6E68AE3E" w:rsidR="007202C4" w:rsidRDefault="007202C4" w:rsidP="007202C4">
      <w:pPr>
        <w:pStyle w:val="ListParagraph"/>
        <w:numPr>
          <w:ilvl w:val="0"/>
          <w:numId w:val="5"/>
        </w:numPr>
        <w:spacing w:line="480" w:lineRule="auto"/>
        <w:ind w:left="1440"/>
      </w:pPr>
      <w:r w:rsidRPr="00DD572E">
        <w:lastRenderedPageBreak/>
        <w:t>We approved reductions in the incentives for new net-metering systems as part of the biennial assessment</w:t>
      </w:r>
      <w:r w:rsidR="00352FDD">
        <w:t>,</w:t>
      </w:r>
      <w:r w:rsidRPr="00DD572E">
        <w:t xml:space="preserve"> whose purpose is to ensure that the pace of net-metering deployment is consistent with Vermont’s policy objectives and to ensure that the net-metering program is not having an undue adverse impact on ratepayers </w:t>
      </w:r>
      <w:r w:rsidR="00AD2BEF">
        <w:t xml:space="preserve">who are not net-metering </w:t>
      </w:r>
      <w:r w:rsidRPr="00DD572E">
        <w:t>(Case</w:t>
      </w:r>
      <w:r>
        <w:t xml:space="preserve"> </w:t>
      </w:r>
      <w:r w:rsidRPr="00726B3A">
        <w:t>22</w:t>
      </w:r>
      <w:r>
        <w:t>-0334-INV). We also approved revised electric distribution utility tariffs reflecting those revised incentives (Cases 22-0987-TF; 22-2709-TF; 22-2721-TF; 22-2725-TF; 22-2726-TF; 22-2732-TF; 22-2733-TF; 22-2743-TF; 22-2748-TF; 22-2749-TF; 22-2751-TF; 22-2752-TF; 22-2759-TF; 22-2763-TF; 22-2768-TF; 22-2822-TF; and 22-2833-TF).</w:t>
      </w:r>
    </w:p>
    <w:p w14:paraId="6399C19C" w14:textId="2C2CD081" w:rsidR="00005146" w:rsidRPr="000538D5" w:rsidRDefault="00005146" w:rsidP="007202C4">
      <w:pPr>
        <w:pStyle w:val="ListParagraph"/>
        <w:numPr>
          <w:ilvl w:val="0"/>
          <w:numId w:val="5"/>
        </w:numPr>
        <w:spacing w:line="480" w:lineRule="auto"/>
        <w:ind w:left="1440"/>
      </w:pPr>
      <w:bookmarkStart w:id="3" w:name="_Hlk130559566"/>
      <w:r>
        <w:t>We approved financing requests by GMP, the Town of Stowe Electric Department, the Vermont Electric Transmission Company, Inc., the Public Service Company of New Hampshire, and Vermont Transco LLC (Cases 21-1270-PET; 22-1777-PET; 22-2262-PET;  22-3028-PET; 22-3900-PET; and 22-4510-PET).</w:t>
      </w:r>
    </w:p>
    <w:bookmarkEnd w:id="3"/>
    <w:p w14:paraId="56FD6333" w14:textId="64466AF1" w:rsidR="00211BF0" w:rsidRDefault="00211BF0" w:rsidP="00211BF0">
      <w:pPr>
        <w:pStyle w:val="ListParagraph"/>
        <w:numPr>
          <w:ilvl w:val="0"/>
          <w:numId w:val="5"/>
        </w:numPr>
        <w:spacing w:line="480" w:lineRule="auto"/>
        <w:ind w:left="1440"/>
      </w:pPr>
      <w:r>
        <w:t xml:space="preserve">We approved a 6.18% increase in </w:t>
      </w:r>
      <w:r w:rsidR="007202C4">
        <w:t>VGS</w:t>
      </w:r>
      <w:r>
        <w:t>’s daily access and distribution charges</w:t>
      </w:r>
      <w:r w:rsidR="006F3DFD">
        <w:t xml:space="preserve"> (Case 22-0480-TF)</w:t>
      </w:r>
      <w:r>
        <w:t>.</w:t>
      </w:r>
    </w:p>
    <w:p w14:paraId="51D37032" w14:textId="75569DB8" w:rsidR="00211BF0" w:rsidRDefault="00211BF0" w:rsidP="00211BF0">
      <w:pPr>
        <w:pStyle w:val="ListParagraph"/>
        <w:numPr>
          <w:ilvl w:val="0"/>
          <w:numId w:val="5"/>
        </w:numPr>
        <w:spacing w:line="480" w:lineRule="auto"/>
        <w:ind w:left="1440"/>
      </w:pPr>
      <w:r>
        <w:t xml:space="preserve">We approved an increase in the fee charged to all customers that funds </w:t>
      </w:r>
      <w:r w:rsidR="007202C4">
        <w:t>VGS</w:t>
      </w:r>
      <w:r>
        <w:t>’s low-income assistance program</w:t>
      </w:r>
      <w:r w:rsidR="006F3DFD">
        <w:t xml:space="preserve"> (Case 22-3903-TF)</w:t>
      </w:r>
      <w:r>
        <w:t>.  The monthly fee for residential customers increased from $0.40 to $0.64 per month, which is equal to a 59% increase.  The same percentage increase applied to all other rate classes.</w:t>
      </w:r>
    </w:p>
    <w:p w14:paraId="660E24A6" w14:textId="462B90EF" w:rsidR="00211BF0" w:rsidRDefault="00211BF0" w:rsidP="00F756FA">
      <w:pPr>
        <w:pStyle w:val="ListParagraph"/>
        <w:numPr>
          <w:ilvl w:val="0"/>
          <w:numId w:val="5"/>
        </w:numPr>
        <w:spacing w:line="480" w:lineRule="auto"/>
        <w:ind w:left="1440"/>
      </w:pPr>
      <w:r>
        <w:t xml:space="preserve">We approved a contract under which </w:t>
      </w:r>
      <w:r w:rsidR="007202C4">
        <w:t>VGS</w:t>
      </w:r>
      <w:r>
        <w:t xml:space="preserve"> will purchase renewable natural gas from Archaea Energy Marketing LLC for 14.5 years, with an option to extend the </w:t>
      </w:r>
      <w:r>
        <w:lastRenderedPageBreak/>
        <w:t>contract for an additional five years</w:t>
      </w:r>
      <w:r w:rsidR="006F3DFD">
        <w:t xml:space="preserve"> (Case 22-2230-PET)</w:t>
      </w:r>
      <w:r>
        <w:t>.  This decision is currently on appeal to the Vermont Supreme Court.</w:t>
      </w:r>
    </w:p>
    <w:p w14:paraId="11553122" w14:textId="27CF3F12" w:rsidR="00BF558B" w:rsidRDefault="00BF558B" w:rsidP="00845AD3">
      <w:pPr>
        <w:pStyle w:val="ListParagraph"/>
        <w:numPr>
          <w:ilvl w:val="0"/>
          <w:numId w:val="5"/>
        </w:numPr>
        <w:spacing w:line="480" w:lineRule="auto"/>
        <w:ind w:left="1440"/>
      </w:pPr>
      <w:r>
        <w:t xml:space="preserve">We approved a successor incentive regulation plan filed by Consolidated Communications of Vermont Company, LLC and Consolidated Communications of Northland Company (Case 21-4060-PET).  Under the new plan, Consolidated will be able to set its own rates for basic local exchange service in areas where competition is sufficient to keep prices at just and reasonable levels, subject to stepped limits on rate increases over the next three years.  The new plan maintains the existing protections in municipalities where alternatives are not sufficient to provide a competitive check on basic services.  </w:t>
      </w:r>
    </w:p>
    <w:p w14:paraId="56AFEA2D" w14:textId="26ADFA36" w:rsidR="00005588" w:rsidRDefault="00005588" w:rsidP="000D48E9">
      <w:pPr>
        <w:pStyle w:val="ListParagraph"/>
        <w:numPr>
          <w:ilvl w:val="0"/>
          <w:numId w:val="5"/>
        </w:numPr>
        <w:spacing w:line="480" w:lineRule="auto"/>
        <w:ind w:left="1440"/>
      </w:pPr>
      <w:r>
        <w:t>We approved revised exchange boundary maps affecting Consolidated Communications of Vermont Company, LLC’s Milton and St. Albans exchange boundary.  This change will increase affected Consolidated customers’ ability to obtain higher-speed broadband connections</w:t>
      </w:r>
      <w:r w:rsidR="0052690E">
        <w:t xml:space="preserve"> (Case 22-0021-TF).</w:t>
      </w:r>
    </w:p>
    <w:p w14:paraId="49192DA9" w14:textId="458A29D3" w:rsidR="0046321A" w:rsidRDefault="0046321A" w:rsidP="000D48E9">
      <w:pPr>
        <w:pStyle w:val="ListParagraph"/>
        <w:numPr>
          <w:ilvl w:val="0"/>
          <w:numId w:val="5"/>
        </w:numPr>
        <w:spacing w:line="480" w:lineRule="auto"/>
        <w:ind w:left="1440"/>
      </w:pPr>
      <w:r>
        <w:t>We approved a 5.88% increase in rates for Vermont Water Utilities, Inc.</w:t>
      </w:r>
      <w:r w:rsidR="006F3DFD">
        <w:t xml:space="preserve"> (Case 22-3104-TF).</w:t>
      </w:r>
    </w:p>
    <w:bookmarkEnd w:id="2"/>
    <w:p w14:paraId="783FD6DC" w14:textId="399BC5E6" w:rsidR="00307E42" w:rsidRPr="000901EA" w:rsidRDefault="00307E42" w:rsidP="000538D5">
      <w:pPr>
        <w:pStyle w:val="ListParagraph"/>
        <w:numPr>
          <w:ilvl w:val="0"/>
          <w:numId w:val="5"/>
        </w:numPr>
        <w:spacing w:line="480" w:lineRule="auto"/>
        <w:ind w:left="1440"/>
      </w:pPr>
      <w:r w:rsidRPr="000901EA">
        <w:t>We approved 202</w:t>
      </w:r>
      <w:r w:rsidR="00E9587E">
        <w:t>1</w:t>
      </w:r>
      <w:r w:rsidRPr="000901EA">
        <w:t xml:space="preserve"> </w:t>
      </w:r>
      <w:r w:rsidR="00352FDD" w:rsidRPr="000901EA">
        <w:t>program</w:t>
      </w:r>
      <w:r w:rsidR="00352FDD">
        <w:t>-</w:t>
      </w:r>
      <w:r w:rsidRPr="000901EA">
        <w:t xml:space="preserve">year </w:t>
      </w:r>
      <w:r w:rsidR="007B2FE3" w:rsidRPr="000901EA">
        <w:t xml:space="preserve">energy efficiency savings for Efficiency Vermont </w:t>
      </w:r>
      <w:r w:rsidR="00ED1FB7" w:rsidRPr="000901EA">
        <w:t xml:space="preserve">(Case </w:t>
      </w:r>
      <w:r w:rsidR="00E9587E">
        <w:t>22-1108-PET</w:t>
      </w:r>
      <w:r w:rsidR="00ED1FB7" w:rsidRPr="000901EA">
        <w:t xml:space="preserve">) </w:t>
      </w:r>
      <w:r w:rsidR="007B2FE3" w:rsidRPr="000901EA">
        <w:t>and VGS</w:t>
      </w:r>
      <w:r w:rsidR="00FB4EC6" w:rsidRPr="000901EA">
        <w:t xml:space="preserve"> (Case </w:t>
      </w:r>
      <w:r w:rsidR="00E9587E">
        <w:t>22-1558-PET</w:t>
      </w:r>
      <w:r w:rsidR="00FB4EC6" w:rsidRPr="000901EA">
        <w:t>).</w:t>
      </w:r>
      <w:r w:rsidR="00E77F31">
        <w:t xml:space="preserve"> </w:t>
      </w:r>
    </w:p>
    <w:p w14:paraId="6693067B" w14:textId="5969EC4D" w:rsidR="00FB4EC6" w:rsidRPr="000901EA" w:rsidRDefault="00FB4EC6" w:rsidP="000538D5">
      <w:pPr>
        <w:pStyle w:val="ListParagraph"/>
        <w:numPr>
          <w:ilvl w:val="0"/>
          <w:numId w:val="5"/>
        </w:numPr>
        <w:spacing w:line="480" w:lineRule="auto"/>
        <w:ind w:left="1440"/>
      </w:pPr>
      <w:r w:rsidRPr="000901EA">
        <w:t xml:space="preserve">We approved </w:t>
      </w:r>
      <w:r w:rsidR="00001AA0" w:rsidRPr="000901EA">
        <w:t>201</w:t>
      </w:r>
      <w:r w:rsidR="006031D5">
        <w:t>9</w:t>
      </w:r>
      <w:r w:rsidR="00001AA0" w:rsidRPr="000901EA">
        <w:t xml:space="preserve"> energy efficiency savings for BED (Case 21A-276</w:t>
      </w:r>
      <w:r w:rsidR="006031D5">
        <w:t>1</w:t>
      </w:r>
      <w:r w:rsidR="00001AA0" w:rsidRPr="000901EA">
        <w:t>).</w:t>
      </w:r>
      <w:r w:rsidR="00E9587E">
        <w:t xml:space="preserve"> </w:t>
      </w:r>
    </w:p>
    <w:p w14:paraId="2BAAADE2" w14:textId="77777777" w:rsidR="007202C4" w:rsidRDefault="002B0DC9" w:rsidP="000538D5">
      <w:pPr>
        <w:pStyle w:val="ListParagraph"/>
        <w:numPr>
          <w:ilvl w:val="0"/>
          <w:numId w:val="5"/>
        </w:numPr>
        <w:spacing w:line="480" w:lineRule="auto"/>
        <w:ind w:left="1440"/>
      </w:pPr>
      <w:r w:rsidRPr="000901EA">
        <w:t xml:space="preserve">We </w:t>
      </w:r>
      <w:r w:rsidR="00E9587E">
        <w:t>completed</w:t>
      </w:r>
      <w:r w:rsidR="00344DDB" w:rsidRPr="000901EA">
        <w:t xml:space="preserve"> Overall Performance Assessments of the three energy efficiency utilities</w:t>
      </w:r>
      <w:r w:rsidR="00BB52A9" w:rsidRPr="000901EA">
        <w:t xml:space="preserve"> (Case 21-1500-PET)</w:t>
      </w:r>
      <w:r w:rsidR="00033F49">
        <w:t xml:space="preserve">, concluding </w:t>
      </w:r>
      <w:r w:rsidR="00E9587E">
        <w:t>that all three should be granted an Order of Appointment for a new 11-year term.</w:t>
      </w:r>
      <w:r w:rsidR="00033F49">
        <w:t xml:space="preserve">  </w:t>
      </w:r>
    </w:p>
    <w:p w14:paraId="157AB1E6" w14:textId="2803CDA4" w:rsidR="002B0DC9" w:rsidRPr="000901EA" w:rsidRDefault="00033F49" w:rsidP="000538D5">
      <w:pPr>
        <w:pStyle w:val="ListParagraph"/>
        <w:numPr>
          <w:ilvl w:val="0"/>
          <w:numId w:val="5"/>
        </w:numPr>
        <w:spacing w:line="480" w:lineRule="auto"/>
        <w:ind w:left="1440"/>
      </w:pPr>
      <w:r>
        <w:lastRenderedPageBreak/>
        <w:t>We have issued a new order of appointment to Vermont Energy Investment Corporation to serve as Efficiency Vermont</w:t>
      </w:r>
      <w:r w:rsidR="00352FDD">
        <w:t>.  P</w:t>
      </w:r>
      <w:r>
        <w:t xml:space="preserve">roceedings will continue in 2023 regarding </w:t>
      </w:r>
      <w:r w:rsidR="007202C4">
        <w:t xml:space="preserve">orders of appointment for </w:t>
      </w:r>
      <w:r>
        <w:t>VGS and BED (Case 22-1647-PET).</w:t>
      </w:r>
    </w:p>
    <w:p w14:paraId="235BEC60" w14:textId="535897DD" w:rsidR="00F80CA2" w:rsidRDefault="00F80CA2" w:rsidP="000538D5">
      <w:pPr>
        <w:pStyle w:val="ListParagraph"/>
        <w:numPr>
          <w:ilvl w:val="0"/>
          <w:numId w:val="5"/>
        </w:numPr>
        <w:spacing w:line="480" w:lineRule="auto"/>
        <w:ind w:left="1440"/>
      </w:pPr>
      <w:r w:rsidRPr="000901EA">
        <w:t xml:space="preserve">We </w:t>
      </w:r>
      <w:r w:rsidR="00033F49">
        <w:t>approved updated</w:t>
      </w:r>
      <w:r w:rsidRPr="000901EA">
        <w:t xml:space="preserve"> avoided costs and other screening values for use in energy efficiency cost-effectiveness screening (Case 21-2436-PET). </w:t>
      </w:r>
    </w:p>
    <w:p w14:paraId="08C6E45D" w14:textId="5D09668E" w:rsidR="00F44957" w:rsidRPr="000901EA" w:rsidRDefault="00F44957" w:rsidP="000538D5">
      <w:pPr>
        <w:pStyle w:val="ListParagraph"/>
        <w:numPr>
          <w:ilvl w:val="0"/>
          <w:numId w:val="5"/>
        </w:numPr>
        <w:spacing w:line="480" w:lineRule="auto"/>
        <w:ind w:left="1440"/>
      </w:pPr>
      <w:r>
        <w:t xml:space="preserve">We started a case to </w:t>
      </w:r>
      <w:r w:rsidR="00547699">
        <w:t xml:space="preserve">consider updates to the </w:t>
      </w:r>
      <w:r>
        <w:t xml:space="preserve">Demand Resources Plans for the three energy efficiency utilities for the 2024-2026 performance period (Case 22-2954-PET).  The Demand Resources Plans </w:t>
      </w:r>
      <w:r w:rsidR="00BA7CA3">
        <w:t xml:space="preserve">will include </w:t>
      </w:r>
      <w:r>
        <w:t>budgets, savings goals, and performance metrics.  Proceedings will continue in 2023.</w:t>
      </w:r>
    </w:p>
    <w:p w14:paraId="7740DD67" w14:textId="49E6C2AF" w:rsidR="003256E8" w:rsidRPr="00103B37" w:rsidRDefault="003256E8" w:rsidP="000538D5">
      <w:pPr>
        <w:pStyle w:val="ListParagraph"/>
        <w:numPr>
          <w:ilvl w:val="0"/>
          <w:numId w:val="5"/>
        </w:numPr>
        <w:spacing w:line="480" w:lineRule="auto"/>
        <w:ind w:left="1440"/>
      </w:pPr>
      <w:r w:rsidRPr="000901EA">
        <w:t xml:space="preserve">We </w:t>
      </w:r>
      <w:r w:rsidR="00033F49">
        <w:t>hired</w:t>
      </w:r>
      <w:r w:rsidRPr="000901EA">
        <w:t xml:space="preserve"> a contractor to perform a triennial audit of energy efficiency utility reported savings and program cost-effectiveness. </w:t>
      </w:r>
      <w:r w:rsidR="00137DDF" w:rsidRPr="000901EA">
        <w:t xml:space="preserve">Work </w:t>
      </w:r>
      <w:r w:rsidR="00B42D65">
        <w:t xml:space="preserve">on this </w:t>
      </w:r>
      <w:r w:rsidR="00137DDF" w:rsidRPr="000901EA">
        <w:t>will continue in 202</w:t>
      </w:r>
      <w:r w:rsidR="00033F49">
        <w:t>3</w:t>
      </w:r>
      <w:r w:rsidR="00137DDF" w:rsidRPr="000901EA">
        <w:t>.</w:t>
      </w:r>
    </w:p>
    <w:p w14:paraId="6E4797E4" w14:textId="30ED4230" w:rsidR="00F1240C" w:rsidRDefault="00BA01B0" w:rsidP="009C403A">
      <w:pPr>
        <w:spacing w:line="480" w:lineRule="auto"/>
        <w:ind w:firstLine="720"/>
      </w:pPr>
      <w:r w:rsidRPr="000538D5">
        <w:rPr>
          <w:b/>
          <w:u w:val="single"/>
        </w:rPr>
        <w:t>Reports</w:t>
      </w:r>
      <w:r w:rsidR="00BD7595" w:rsidRPr="000538D5">
        <w:rPr>
          <w:b/>
          <w:u w:val="single"/>
        </w:rPr>
        <w:t>.</w:t>
      </w:r>
      <w:r w:rsidR="00BD7595">
        <w:rPr>
          <w:b/>
        </w:rPr>
        <w:t xml:space="preserve"> </w:t>
      </w:r>
      <w:r w:rsidR="00BD7595" w:rsidRPr="00A018D0">
        <w:rPr>
          <w:bCs/>
        </w:rPr>
        <w:t>We frequently</w:t>
      </w:r>
      <w:r w:rsidR="00BD7595">
        <w:rPr>
          <w:bCs/>
        </w:rPr>
        <w:t xml:space="preserve"> </w:t>
      </w:r>
      <w:r w:rsidR="00D52025">
        <w:t>issue</w:t>
      </w:r>
      <w:r w:rsidR="00D52025" w:rsidRPr="00653A2F">
        <w:t xml:space="preserve"> </w:t>
      </w:r>
      <w:r w:rsidR="00B34D92" w:rsidRPr="00653A2F">
        <w:t xml:space="preserve">reports </w:t>
      </w:r>
      <w:r w:rsidR="00D52025">
        <w:t>in response to</w:t>
      </w:r>
      <w:r w:rsidR="00B34D92" w:rsidRPr="00653A2F">
        <w:t xml:space="preserve"> legislative directives. In 20</w:t>
      </w:r>
      <w:r w:rsidR="008440C3">
        <w:t>2</w:t>
      </w:r>
      <w:r w:rsidR="00EC0E55">
        <w:t>2</w:t>
      </w:r>
      <w:r w:rsidR="00B34D92">
        <w:t xml:space="preserve"> we </w:t>
      </w:r>
      <w:r w:rsidR="00D52025">
        <w:t xml:space="preserve">completed </w:t>
      </w:r>
      <w:r w:rsidR="004461C9">
        <w:t>a number of</w:t>
      </w:r>
      <w:r w:rsidR="00B34D92">
        <w:t xml:space="preserve"> reports addressing </w:t>
      </w:r>
      <w:r w:rsidR="00D52025">
        <w:t xml:space="preserve">topics </w:t>
      </w:r>
      <w:r w:rsidR="00B34D92">
        <w:t xml:space="preserve">of </w:t>
      </w:r>
      <w:r w:rsidR="004461C9">
        <w:t>statewide c</w:t>
      </w:r>
      <w:r w:rsidR="00B34D92">
        <w:t xml:space="preserve">oncern. </w:t>
      </w:r>
      <w:r w:rsidR="008523B7">
        <w:t>Listed below are the reports and a brief description of the topics they addressed</w:t>
      </w:r>
      <w:r w:rsidR="00D8063B">
        <w:t>.</w:t>
      </w:r>
    </w:p>
    <w:p w14:paraId="66200825" w14:textId="7CCAD158" w:rsidR="00101E9D" w:rsidRPr="00845AD3" w:rsidRDefault="00101E9D" w:rsidP="00FE1F76">
      <w:pPr>
        <w:pStyle w:val="ListParagraph"/>
        <w:numPr>
          <w:ilvl w:val="0"/>
          <w:numId w:val="8"/>
        </w:numPr>
        <w:spacing w:line="480" w:lineRule="auto"/>
      </w:pPr>
      <w:r w:rsidRPr="007202C4">
        <w:rPr>
          <w:u w:val="single"/>
        </w:rPr>
        <w:t>Act 55: 2022 Report on Electric Rates for Electric Vehicles</w:t>
      </w:r>
      <w:r>
        <w:t>:  This report provides information regarding progress on electric distribution utilities’ rates related to electric vehicles and electric vehicle supply equipment.  It also describes challenges and barriers to implementation of electric vehicle rates.</w:t>
      </w:r>
    </w:p>
    <w:p w14:paraId="3522A1A1" w14:textId="51E76F4B" w:rsidR="00FE1F76" w:rsidRPr="00810182" w:rsidRDefault="00FE1F76" w:rsidP="00FE1F76">
      <w:pPr>
        <w:pStyle w:val="ListParagraph"/>
        <w:numPr>
          <w:ilvl w:val="0"/>
          <w:numId w:val="8"/>
        </w:numPr>
        <w:spacing w:line="480" w:lineRule="auto"/>
      </w:pPr>
      <w:r w:rsidRPr="00810182">
        <w:rPr>
          <w:u w:val="single"/>
        </w:rPr>
        <w:t>20</w:t>
      </w:r>
      <w:r w:rsidR="00101E9D">
        <w:rPr>
          <w:u w:val="single"/>
        </w:rPr>
        <w:t>20</w:t>
      </w:r>
      <w:r w:rsidRPr="00810182">
        <w:rPr>
          <w:u w:val="single"/>
        </w:rPr>
        <w:t xml:space="preserve"> Energy Efficiency Utility Program Revenues and Expenditures</w:t>
      </w:r>
      <w:r w:rsidRPr="00810182">
        <w:t xml:space="preserve">: </w:t>
      </w:r>
      <w:r w:rsidR="00D52025">
        <w:t>This</w:t>
      </w:r>
      <w:r w:rsidR="00D52025" w:rsidRPr="00810182">
        <w:t xml:space="preserve"> </w:t>
      </w:r>
      <w:r w:rsidR="002A3706">
        <w:t>annual</w:t>
      </w:r>
      <w:r w:rsidR="008D4394">
        <w:t xml:space="preserve"> </w:t>
      </w:r>
      <w:r w:rsidRPr="00810182">
        <w:t xml:space="preserve">report </w:t>
      </w:r>
      <w:r w:rsidR="00D52025">
        <w:t>explain</w:t>
      </w:r>
      <w:r w:rsidR="008D4394">
        <w:t>s</w:t>
      </w:r>
      <w:r w:rsidR="00D52025" w:rsidRPr="00810182">
        <w:t xml:space="preserve"> </w:t>
      </w:r>
      <w:r w:rsidRPr="00810182">
        <w:t xml:space="preserve">how the funds collected through the energy efficiency charge were spent during </w:t>
      </w:r>
      <w:r w:rsidRPr="00A77C9E">
        <w:t>20</w:t>
      </w:r>
      <w:r w:rsidR="00101E9D">
        <w:t>20</w:t>
      </w:r>
      <w:r w:rsidR="002B4A94" w:rsidRPr="00810182">
        <w:t>.</w:t>
      </w:r>
    </w:p>
    <w:p w14:paraId="471A1CB8" w14:textId="352799FF" w:rsidR="000E6C90" w:rsidRDefault="00FE1F76" w:rsidP="000E6C90">
      <w:pPr>
        <w:pStyle w:val="ListParagraph"/>
        <w:numPr>
          <w:ilvl w:val="0"/>
          <w:numId w:val="8"/>
        </w:numPr>
        <w:spacing w:line="480" w:lineRule="auto"/>
      </w:pPr>
      <w:r w:rsidRPr="00810182">
        <w:rPr>
          <w:u w:val="single"/>
        </w:rPr>
        <w:lastRenderedPageBreak/>
        <w:t>Self-Managed Energy Efficiency Programs Pursuant to 30 V.S.A. § 209(j)(4)(G)</w:t>
      </w:r>
      <w:r w:rsidRPr="00810182">
        <w:t xml:space="preserve">: </w:t>
      </w:r>
      <w:r w:rsidR="00D52025">
        <w:t>This</w:t>
      </w:r>
      <w:r w:rsidR="00D52025" w:rsidRPr="00810182">
        <w:t xml:space="preserve"> </w:t>
      </w:r>
      <w:r w:rsidR="002A3706">
        <w:t>annual</w:t>
      </w:r>
      <w:r w:rsidR="00D52025">
        <w:t xml:space="preserve"> </w:t>
      </w:r>
      <w:r w:rsidRPr="00810182">
        <w:t xml:space="preserve">report </w:t>
      </w:r>
      <w:r w:rsidR="00D52025">
        <w:t>is an update of</w:t>
      </w:r>
      <w:r w:rsidR="00D52025" w:rsidRPr="00810182">
        <w:t xml:space="preserve"> </w:t>
      </w:r>
      <w:r w:rsidRPr="00810182">
        <w:t xml:space="preserve">the funds spent </w:t>
      </w:r>
      <w:r w:rsidR="008D4394">
        <w:t xml:space="preserve">and the investments made </w:t>
      </w:r>
      <w:r w:rsidRPr="00810182">
        <w:t xml:space="preserve">by the two </w:t>
      </w:r>
      <w:r w:rsidR="008D4394">
        <w:t>commercial customers</w:t>
      </w:r>
      <w:r w:rsidRPr="00810182">
        <w:t xml:space="preserve"> that </w:t>
      </w:r>
      <w:r w:rsidR="008D4394">
        <w:t xml:space="preserve">are authorized to make their own efficiency investments in lieu of paying </w:t>
      </w:r>
      <w:r w:rsidRPr="00810182">
        <w:t>into the energy efficiency fund</w:t>
      </w:r>
      <w:r w:rsidR="002B4A94" w:rsidRPr="00810182">
        <w:t>.</w:t>
      </w:r>
    </w:p>
    <w:p w14:paraId="4B4BAE18" w14:textId="318877CF" w:rsidR="00101E9D" w:rsidRDefault="00101E9D" w:rsidP="000E6C90">
      <w:pPr>
        <w:pStyle w:val="ListParagraph"/>
        <w:numPr>
          <w:ilvl w:val="0"/>
          <w:numId w:val="8"/>
        </w:numPr>
        <w:spacing w:line="480" w:lineRule="auto"/>
      </w:pPr>
      <w:r>
        <w:rPr>
          <w:u w:val="single"/>
        </w:rPr>
        <w:t>Act 151 Energy Efficiency Programs</w:t>
      </w:r>
      <w:r w:rsidRPr="00845AD3">
        <w:t>:</w:t>
      </w:r>
      <w:r>
        <w:t xml:space="preserve">  This report describes the programs, measures, and services approved by the Commission under Act 151 (2020).  That Act authorized electric energy efficiency utilities to spend a portion of their electric resource acquisition budget, in an amount to be determined by the Commission but not to exceed $2 million per year, on programs, measures, and services that reduce greenhouse gas emissions in the thermal energy or transportation sectors.</w:t>
      </w:r>
    </w:p>
    <w:p w14:paraId="6B25762A" w14:textId="36A55ED9" w:rsidR="00BA4225" w:rsidRPr="000E6C90" w:rsidRDefault="00FE1F76" w:rsidP="000E6C90">
      <w:pPr>
        <w:pStyle w:val="ListParagraph"/>
        <w:numPr>
          <w:ilvl w:val="0"/>
          <w:numId w:val="8"/>
        </w:numPr>
        <w:spacing w:line="480" w:lineRule="auto"/>
      </w:pPr>
      <w:r w:rsidRPr="000E6C90">
        <w:rPr>
          <w:u w:val="single"/>
        </w:rPr>
        <w:t>Fiscal 20</w:t>
      </w:r>
      <w:r w:rsidR="001E0AFF">
        <w:rPr>
          <w:u w:val="single"/>
        </w:rPr>
        <w:t>2</w:t>
      </w:r>
      <w:r w:rsidR="00101E9D">
        <w:rPr>
          <w:u w:val="single"/>
        </w:rPr>
        <w:t>1</w:t>
      </w:r>
      <w:r w:rsidRPr="000E6C90">
        <w:rPr>
          <w:u w:val="single"/>
        </w:rPr>
        <w:t xml:space="preserve"> Annual Report on Bill-Backs Authorized Under 30 V.S.A</w:t>
      </w:r>
      <w:r w:rsidR="00082F99" w:rsidRPr="000E6C90">
        <w:rPr>
          <w:u w:val="single"/>
        </w:rPr>
        <w:t>.</w:t>
      </w:r>
      <w:r w:rsidRPr="000E6C90">
        <w:rPr>
          <w:u w:val="single"/>
        </w:rPr>
        <w:t xml:space="preserve"> </w:t>
      </w:r>
      <w:r w:rsidR="00082F99" w:rsidRPr="000E6C90">
        <w:rPr>
          <w:u w:val="single"/>
        </w:rPr>
        <w:t xml:space="preserve">§ </w:t>
      </w:r>
      <w:r w:rsidRPr="000E6C90">
        <w:rPr>
          <w:u w:val="single"/>
        </w:rPr>
        <w:t>21(e)</w:t>
      </w:r>
      <w:r w:rsidRPr="00B13288">
        <w:t>.</w:t>
      </w:r>
    </w:p>
    <w:p w14:paraId="24FC955D" w14:textId="01347311" w:rsidR="00D67E9F" w:rsidRPr="00BE61AA" w:rsidRDefault="00BE61AA" w:rsidP="00E77F31">
      <w:pPr>
        <w:spacing w:before="240" w:line="480" w:lineRule="auto"/>
        <w:jc w:val="center"/>
        <w:rPr>
          <w:b/>
          <w:u w:val="single"/>
        </w:rPr>
      </w:pPr>
      <w:r>
        <w:rPr>
          <w:b/>
          <w:u w:val="single"/>
        </w:rPr>
        <w:t>OUR MAJOR WORK FOR 202</w:t>
      </w:r>
      <w:r w:rsidR="00B017D4">
        <w:rPr>
          <w:b/>
          <w:u w:val="single"/>
        </w:rPr>
        <w:t>3</w:t>
      </w:r>
      <w:r w:rsidR="00240C97">
        <w:rPr>
          <w:b/>
          <w:u w:val="single"/>
        </w:rPr>
        <w:t xml:space="preserve"> </w:t>
      </w:r>
    </w:p>
    <w:p w14:paraId="08FAD473" w14:textId="542F0A8C" w:rsidR="00051201" w:rsidRDefault="00051201" w:rsidP="00D67E9F">
      <w:pPr>
        <w:spacing w:line="480" w:lineRule="auto"/>
        <w:ind w:firstLine="720"/>
      </w:pPr>
      <w:r>
        <w:t>In 202</w:t>
      </w:r>
      <w:r w:rsidR="00B017D4">
        <w:t>3</w:t>
      </w:r>
      <w:r>
        <w:t xml:space="preserve"> we will be addressing a number of new issues as well as continuing our regular work processing thousands of applications for </w:t>
      </w:r>
      <w:r w:rsidR="008D4394">
        <w:t xml:space="preserve">certificates </w:t>
      </w:r>
      <w:r w:rsidR="00451626">
        <w:t xml:space="preserve">of </w:t>
      </w:r>
      <w:r w:rsidR="008D4394">
        <w:t xml:space="preserve">public good </w:t>
      </w:r>
      <w:r w:rsidR="006917CC">
        <w:t>and regulating the rates and service of Vermont’s utilities</w:t>
      </w:r>
      <w:r w:rsidR="00471562">
        <w:t xml:space="preserve">. Among the most </w:t>
      </w:r>
      <w:r w:rsidR="00E15E39">
        <w:t xml:space="preserve">significant </w:t>
      </w:r>
      <w:r w:rsidR="00471562">
        <w:t xml:space="preserve">tasks we will </w:t>
      </w:r>
      <w:r w:rsidR="00DC6AD9">
        <w:t>under</w:t>
      </w:r>
      <w:r w:rsidR="00471562">
        <w:t>tak</w:t>
      </w:r>
      <w:r w:rsidR="005C5CA2">
        <w:t>e</w:t>
      </w:r>
      <w:r w:rsidR="00471562">
        <w:t xml:space="preserve"> this year are:</w:t>
      </w:r>
    </w:p>
    <w:p w14:paraId="456CB598" w14:textId="2BB47F9E" w:rsidR="002B4A94" w:rsidRDefault="002B4A94" w:rsidP="000D48E9">
      <w:pPr>
        <w:pStyle w:val="ListParagraph"/>
        <w:numPr>
          <w:ilvl w:val="0"/>
          <w:numId w:val="9"/>
        </w:numPr>
        <w:spacing w:line="480" w:lineRule="auto"/>
        <w:ind w:left="1440"/>
      </w:pPr>
      <w:r w:rsidRPr="00810182">
        <w:t>Continuing proceedings to update the net-metering</w:t>
      </w:r>
      <w:r w:rsidR="008D4394">
        <w:t xml:space="preserve"> rule</w:t>
      </w:r>
      <w:r w:rsidRPr="00810182">
        <w:t xml:space="preserve"> </w:t>
      </w:r>
      <w:r w:rsidR="00D156A2" w:rsidRPr="000538D5">
        <w:t xml:space="preserve">(Case 19-0855-RULE) </w:t>
      </w:r>
      <w:r w:rsidRPr="00810182">
        <w:t xml:space="preserve">and </w:t>
      </w:r>
      <w:r w:rsidR="008D4394">
        <w:t xml:space="preserve">the </w:t>
      </w:r>
      <w:r w:rsidRPr="00810182">
        <w:t>interconnection rule</w:t>
      </w:r>
      <w:r w:rsidR="00D156A2" w:rsidRPr="000538D5">
        <w:t xml:space="preserve"> (Case 19-0856-RULE)</w:t>
      </w:r>
      <w:r w:rsidRPr="00810182">
        <w:t>. These will involve additional public hearings and additional comments from a broad range of stakeholders as the Commission moves into the formal rulemaking process.</w:t>
      </w:r>
    </w:p>
    <w:p w14:paraId="2693257B" w14:textId="0B3F5625" w:rsidR="00707849" w:rsidRPr="00810182" w:rsidRDefault="00707849" w:rsidP="000D48E9">
      <w:pPr>
        <w:pStyle w:val="ListParagraph"/>
        <w:numPr>
          <w:ilvl w:val="0"/>
          <w:numId w:val="9"/>
        </w:numPr>
        <w:spacing w:line="480" w:lineRule="auto"/>
        <w:ind w:left="1440"/>
      </w:pPr>
      <w:r>
        <w:t>Continuing proceedings to update Commission Rule 5.400</w:t>
      </w:r>
      <w:r w:rsidR="00BB18A5">
        <w:t xml:space="preserve">, which sets forth the requirements for petitions to construct electric and gas facilities pursuant to 30 </w:t>
      </w:r>
      <w:r w:rsidR="00BB18A5">
        <w:lastRenderedPageBreak/>
        <w:t>V.S.A. § 248</w:t>
      </w:r>
      <w:r w:rsidR="005D0F8C">
        <w:t xml:space="preserve"> (Case </w:t>
      </w:r>
      <w:r w:rsidR="002E0F15">
        <w:t xml:space="preserve">21-0861-RULE). </w:t>
      </w:r>
      <w:r w:rsidR="007202C4">
        <w:t>T</w:t>
      </w:r>
      <w:r w:rsidR="00B017D4">
        <w:t>he</w:t>
      </w:r>
      <w:r w:rsidR="00FF29FF" w:rsidRPr="000538D5">
        <w:t xml:space="preserve"> formal rulemaking process </w:t>
      </w:r>
      <w:r w:rsidR="00B017D4">
        <w:t xml:space="preserve">will </w:t>
      </w:r>
      <w:r w:rsidR="007202C4">
        <w:t>s</w:t>
      </w:r>
      <w:r w:rsidR="00B017D4">
        <w:t xml:space="preserve">tart </w:t>
      </w:r>
      <w:r w:rsidR="00FF29FF" w:rsidRPr="000538D5">
        <w:t>in 202</w:t>
      </w:r>
      <w:r w:rsidR="00B017D4">
        <w:t>3</w:t>
      </w:r>
      <w:r w:rsidR="00FF29FF" w:rsidRPr="00810182">
        <w:t>.</w:t>
      </w:r>
    </w:p>
    <w:p w14:paraId="6B56455B" w14:textId="5E0A6A44" w:rsidR="00BA7772" w:rsidRDefault="00BA7772" w:rsidP="000D48E9">
      <w:pPr>
        <w:pStyle w:val="ListParagraph"/>
        <w:numPr>
          <w:ilvl w:val="0"/>
          <w:numId w:val="9"/>
        </w:numPr>
        <w:spacing w:line="480" w:lineRule="auto"/>
        <w:ind w:left="1440"/>
      </w:pPr>
      <w:r w:rsidRPr="00103B37">
        <w:t xml:space="preserve">Continuing proceedings to implement a new </w:t>
      </w:r>
      <w:r w:rsidR="00E37EA3" w:rsidRPr="00103B37">
        <w:t xml:space="preserve">rule regarding </w:t>
      </w:r>
      <w:r w:rsidR="00544919" w:rsidRPr="00103B37">
        <w:t xml:space="preserve">the installation and operation of </w:t>
      </w:r>
      <w:r w:rsidR="00E37EA3" w:rsidRPr="00103B37">
        <w:t xml:space="preserve">energy storage </w:t>
      </w:r>
      <w:r w:rsidR="00544919" w:rsidRPr="00103B37">
        <w:t xml:space="preserve">facilities </w:t>
      </w:r>
      <w:r w:rsidR="00E37EA3" w:rsidRPr="00103B37">
        <w:t>(Case 21-</w:t>
      </w:r>
      <w:r w:rsidR="00D661EB" w:rsidRPr="00103B37">
        <w:t>3883</w:t>
      </w:r>
      <w:r w:rsidR="00E37EA3" w:rsidRPr="00103B37">
        <w:t>-RULE).</w:t>
      </w:r>
      <w:r w:rsidR="00096A5E" w:rsidRPr="00103B37">
        <w:t xml:space="preserve"> These will involve additional public workshops and hearings and additional comments from a broad range of stakeholders as the Commission moves into the formal rulemaking process.</w:t>
      </w:r>
    </w:p>
    <w:p w14:paraId="509BA771" w14:textId="7CFE3569" w:rsidR="007202C4" w:rsidRPr="00103B37" w:rsidRDefault="007202C4" w:rsidP="000D48E9">
      <w:pPr>
        <w:pStyle w:val="ListParagraph"/>
        <w:numPr>
          <w:ilvl w:val="0"/>
          <w:numId w:val="9"/>
        </w:numPr>
        <w:spacing w:line="480" w:lineRule="auto"/>
        <w:ind w:left="1440"/>
      </w:pPr>
      <w:r>
        <w:t xml:space="preserve">Continuing proceedings to update Commission Rule 4.500, which </w:t>
      </w:r>
      <w:r w:rsidR="00A97305">
        <w:t>governs dam safety for those dams subject to Commission jurisdiction (Case 22-4420</w:t>
      </w:r>
      <w:r w:rsidR="00AC3DE3">
        <w:t>-RULE</w:t>
      </w:r>
      <w:r w:rsidR="00A97305">
        <w:t>).  The formal rulemaking process is underway.</w:t>
      </w:r>
    </w:p>
    <w:p w14:paraId="5C1176FD" w14:textId="34F4D230" w:rsidR="00C24663" w:rsidRDefault="00B017D4" w:rsidP="00C7350B">
      <w:pPr>
        <w:pStyle w:val="ListParagraph"/>
        <w:numPr>
          <w:ilvl w:val="0"/>
          <w:numId w:val="9"/>
        </w:numPr>
        <w:spacing w:line="480" w:lineRule="auto"/>
        <w:ind w:left="1440"/>
      </w:pPr>
      <w:r>
        <w:t>Continuing i</w:t>
      </w:r>
      <w:r w:rsidR="00C24663">
        <w:t xml:space="preserve">nvestigations into several proposed electric utility rate increases, including </w:t>
      </w:r>
      <w:r w:rsidR="007202C4">
        <w:t>BED’s</w:t>
      </w:r>
      <w:r w:rsidR="00C24663">
        <w:t xml:space="preserve"> request for a 3.95% increase (Case 22-2296-TF), Washington Electric Cooperative, Inc.’s request for a 14.19% increase (Case 22-4100-TF), </w:t>
      </w:r>
      <w:r w:rsidR="003B3BC6">
        <w:t>VEC’s</w:t>
      </w:r>
      <w:r w:rsidR="00C24663">
        <w:t xml:space="preserve"> request for an 8</w:t>
      </w:r>
      <w:r w:rsidR="003B3BC6">
        <w:t>.</w:t>
      </w:r>
      <w:r w:rsidR="00C24663">
        <w:t>19% increase (Case 22-4868-TF)</w:t>
      </w:r>
      <w:r w:rsidR="00E918E9">
        <w:t>, and the Town of Stowe Electric Department’s request for an 11.5% increase (Case 22-5372-TF).</w:t>
      </w:r>
    </w:p>
    <w:p w14:paraId="58EC6E58" w14:textId="77777777" w:rsidR="00A97305" w:rsidRDefault="00A97305" w:rsidP="00A97305">
      <w:pPr>
        <w:pStyle w:val="ListParagraph"/>
        <w:numPr>
          <w:ilvl w:val="0"/>
          <w:numId w:val="9"/>
        </w:numPr>
        <w:spacing w:line="480" w:lineRule="auto"/>
        <w:ind w:left="1440"/>
      </w:pPr>
      <w:r>
        <w:t>Continuing an investigation into BED’s net-metering tariff (Case 22-3947-TF).</w:t>
      </w:r>
    </w:p>
    <w:p w14:paraId="0151F9D1" w14:textId="4F9B28F4" w:rsidR="00A97305" w:rsidRDefault="00A97305" w:rsidP="00A97305">
      <w:pPr>
        <w:pStyle w:val="ListParagraph"/>
        <w:numPr>
          <w:ilvl w:val="0"/>
          <w:numId w:val="9"/>
        </w:numPr>
        <w:spacing w:line="480" w:lineRule="auto"/>
        <w:ind w:left="1440"/>
      </w:pPr>
      <w:r w:rsidRPr="000538D5">
        <w:t xml:space="preserve">Continuing an investigation into </w:t>
      </w:r>
      <w:r w:rsidRPr="00C051A7">
        <w:t>the potential establish</w:t>
      </w:r>
      <w:r>
        <w:t>ment of</w:t>
      </w:r>
      <w:r w:rsidRPr="00C051A7">
        <w:t xml:space="preserve"> reduced rates for low-income residential </w:t>
      </w:r>
      <w:r>
        <w:t>customers</w:t>
      </w:r>
      <w:r w:rsidRPr="00C051A7">
        <w:t xml:space="preserve"> of retail electric utilities</w:t>
      </w:r>
      <w:r w:rsidRPr="000538D5">
        <w:t xml:space="preserve"> (Case 20-0203-INV)</w:t>
      </w:r>
      <w:r w:rsidRPr="00C051A7">
        <w:t>.</w:t>
      </w:r>
    </w:p>
    <w:p w14:paraId="52ABB38B" w14:textId="3CB91D9B" w:rsidR="00B017D4" w:rsidRPr="00C051A7" w:rsidRDefault="00B017D4" w:rsidP="000D48E9">
      <w:pPr>
        <w:pStyle w:val="ListParagraph"/>
        <w:numPr>
          <w:ilvl w:val="0"/>
          <w:numId w:val="9"/>
        </w:numPr>
        <w:spacing w:line="480" w:lineRule="auto"/>
        <w:ind w:left="1440"/>
      </w:pPr>
      <w:r>
        <w:t>Proposed renewal of Vermont Telephone Company’s certificate of public good to own and operate a cable television system (Case 22-3673-PET).</w:t>
      </w:r>
    </w:p>
    <w:p w14:paraId="59822226" w14:textId="77777777" w:rsidR="00A97305" w:rsidRDefault="00A97305" w:rsidP="00A97305">
      <w:pPr>
        <w:pStyle w:val="ListParagraph"/>
        <w:numPr>
          <w:ilvl w:val="0"/>
          <w:numId w:val="9"/>
        </w:numPr>
        <w:spacing w:line="480" w:lineRule="auto"/>
        <w:ind w:left="1440"/>
      </w:pPr>
      <w:r>
        <w:t>Continuing an investigation into Bromley Water Company, Inc.’s requested 40% rate increase (Case 22-4884-TF).</w:t>
      </w:r>
    </w:p>
    <w:p w14:paraId="1C1D6771" w14:textId="43784ADA" w:rsidR="002B4A94" w:rsidRDefault="00B5485C" w:rsidP="002A28D6">
      <w:pPr>
        <w:pStyle w:val="ListParagraph"/>
        <w:numPr>
          <w:ilvl w:val="0"/>
          <w:numId w:val="9"/>
        </w:numPr>
        <w:spacing w:line="480" w:lineRule="auto"/>
        <w:ind w:left="1440"/>
      </w:pPr>
      <w:r w:rsidRPr="000C7E78">
        <w:t>E</w:t>
      </w:r>
      <w:r w:rsidR="005B2488" w:rsidRPr="000C7E78">
        <w:t>nhancing</w:t>
      </w:r>
      <w:r w:rsidRPr="000C7E78">
        <w:t xml:space="preserve"> the Commission’s focus on diversity, equity, and inclusion issues</w:t>
      </w:r>
      <w:r w:rsidR="00827FFE" w:rsidRPr="000C7E78">
        <w:t>.</w:t>
      </w:r>
    </w:p>
    <w:p w14:paraId="640027FB" w14:textId="7C25D10A" w:rsidR="00E77F31" w:rsidRDefault="00E77F31" w:rsidP="00E77F31">
      <w:pPr>
        <w:spacing w:before="240" w:line="480" w:lineRule="auto"/>
        <w:jc w:val="center"/>
      </w:pPr>
      <w:r>
        <w:lastRenderedPageBreak/>
        <w:t>*  *  *</w:t>
      </w:r>
    </w:p>
    <w:p w14:paraId="68CDF189" w14:textId="2F304B76" w:rsidR="00AC2238" w:rsidRDefault="00AC2238" w:rsidP="00D97C94">
      <w:pPr>
        <w:spacing w:line="480" w:lineRule="auto"/>
        <w:ind w:firstLine="720"/>
      </w:pPr>
      <w:r>
        <w:t xml:space="preserve">This is a time of significant change in the </w:t>
      </w:r>
      <w:r w:rsidR="00D97C94">
        <w:t>electric and natural gas</w:t>
      </w:r>
      <w:r>
        <w:t xml:space="preserve"> industries, with the adoption of new technologies, new market participants, and new policy initiatives aimed at addressing climate change.</w:t>
      </w:r>
      <w:r w:rsidR="00E77F31">
        <w:t xml:space="preserve"> </w:t>
      </w:r>
      <w:r>
        <w:t>The telecommunications industry is also continuing to evolve, particularly as Vermont focuses on cellular and broadband deployment in unserved areas.</w:t>
      </w:r>
      <w:r w:rsidR="00E77F31">
        <w:t xml:space="preserve"> </w:t>
      </w:r>
      <w:r>
        <w:t xml:space="preserve">In the coming years, we anticipate that we will be involved in many matters related to the transformation of the energy and telecommunications fields, and we look forward to engaging with </w:t>
      </w:r>
      <w:r w:rsidR="00352FDD">
        <w:t>all</w:t>
      </w:r>
      <w:r>
        <w:t xml:space="preserve"> the affected entities in Vermont as we carry out our regulatory responsibilities. </w:t>
      </w:r>
    </w:p>
    <w:sectPr w:rsidR="00AC2238" w:rsidSect="000C6CB8">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12DF7" w14:textId="77777777" w:rsidR="00BB768B" w:rsidRDefault="00BB768B" w:rsidP="00BB50FB">
      <w:r>
        <w:separator/>
      </w:r>
    </w:p>
  </w:endnote>
  <w:endnote w:type="continuationSeparator" w:id="0">
    <w:p w14:paraId="5BA091F2" w14:textId="77777777" w:rsidR="00BB768B" w:rsidRDefault="00BB768B" w:rsidP="00BB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180225"/>
      <w:docPartObj>
        <w:docPartGallery w:val="Page Numbers (Bottom of Page)"/>
        <w:docPartUnique/>
      </w:docPartObj>
    </w:sdtPr>
    <w:sdtEndPr>
      <w:rPr>
        <w:noProof/>
      </w:rPr>
    </w:sdtEndPr>
    <w:sdtContent>
      <w:p w14:paraId="5493EEB9" w14:textId="77777777" w:rsidR="00D8063B" w:rsidRDefault="00D8063B">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4A3A1D93" w14:textId="77777777" w:rsidR="00D8063B" w:rsidRDefault="00D80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8D7A9" w14:textId="77777777" w:rsidR="00BB768B" w:rsidRDefault="00BB768B" w:rsidP="00BB50FB">
      <w:r>
        <w:separator/>
      </w:r>
    </w:p>
  </w:footnote>
  <w:footnote w:type="continuationSeparator" w:id="0">
    <w:p w14:paraId="3194FAC3" w14:textId="77777777" w:rsidR="00BB768B" w:rsidRDefault="00BB768B" w:rsidP="00BB50FB">
      <w:r>
        <w:continuationSeparator/>
      </w:r>
    </w:p>
  </w:footnote>
  <w:footnote w:id="1">
    <w:p w14:paraId="2CF2A065" w14:textId="6ACBC767" w:rsidR="00D8063B" w:rsidRDefault="00D8063B" w:rsidP="00EF1ECB">
      <w:pPr>
        <w:pStyle w:val="FootnoteText"/>
        <w:ind w:firstLine="720"/>
      </w:pPr>
      <w:r>
        <w:rPr>
          <w:rStyle w:val="FootnoteReference"/>
        </w:rPr>
        <w:footnoteRef/>
      </w:r>
      <w:r>
        <w:t xml:space="preserve"> </w:t>
      </w:r>
      <w:r w:rsidR="00E4735B">
        <w:t>An example of</w:t>
      </w:r>
      <w:r>
        <w:t xml:space="preserve"> alternative rate regulation is the use of power </w:t>
      </w:r>
      <w:r w:rsidR="00653A2F">
        <w:t>cost adjustments</w:t>
      </w:r>
      <w:r>
        <w:t xml:space="preserve"> </w:t>
      </w:r>
      <w:r w:rsidR="00397598">
        <w:t>whereby</w:t>
      </w:r>
      <w:r>
        <w:t xml:space="preserve"> a utility </w:t>
      </w:r>
      <w:r w:rsidR="00653A2F">
        <w:t>may</w:t>
      </w:r>
      <w:r>
        <w:t xml:space="preserve"> adjust rates periodically based on the actual price it </w:t>
      </w:r>
      <w:r w:rsidR="00653A2F">
        <w:t>has paid</w:t>
      </w:r>
      <w:r>
        <w:t xml:space="preserve"> for the energy it </w:t>
      </w:r>
      <w:r w:rsidR="00653A2F">
        <w:t xml:space="preserve">delivers </w:t>
      </w:r>
      <w:r>
        <w:t xml:space="preserve">to its customers. These automatic rate adjustments allow a </w:t>
      </w:r>
      <w:r w:rsidR="00653A2F">
        <w:t xml:space="preserve">utility to </w:t>
      </w:r>
      <w:r>
        <w:t>pass</w:t>
      </w:r>
      <w:r w:rsidR="006D4421">
        <w:t xml:space="preserve"> </w:t>
      </w:r>
      <w:r>
        <w:t xml:space="preserve">through </w:t>
      </w:r>
      <w:r w:rsidR="00653A2F">
        <w:t xml:space="preserve">its actual power costs </w:t>
      </w:r>
      <w:r>
        <w:t xml:space="preserve">to customers </w:t>
      </w:r>
      <w:r w:rsidR="00653A2F">
        <w:t>without the need for a full rate case</w:t>
      </w:r>
      <w:r>
        <w:t>.</w:t>
      </w:r>
      <w:r w:rsidR="00E77F31">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2340"/>
    <w:multiLevelType w:val="hybridMultilevel"/>
    <w:tmpl w:val="BE987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352594"/>
    <w:multiLevelType w:val="hybridMultilevel"/>
    <w:tmpl w:val="92507F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777286"/>
    <w:multiLevelType w:val="hybridMultilevel"/>
    <w:tmpl w:val="AEFE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C7F82"/>
    <w:multiLevelType w:val="hybridMultilevel"/>
    <w:tmpl w:val="EBB29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AD2F0A"/>
    <w:multiLevelType w:val="hybridMultilevel"/>
    <w:tmpl w:val="971A6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484EDC"/>
    <w:multiLevelType w:val="hybridMultilevel"/>
    <w:tmpl w:val="1296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66BB7"/>
    <w:multiLevelType w:val="hybridMultilevel"/>
    <w:tmpl w:val="7C16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87399"/>
    <w:multiLevelType w:val="hybridMultilevel"/>
    <w:tmpl w:val="13E24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A70BF3"/>
    <w:multiLevelType w:val="hybridMultilevel"/>
    <w:tmpl w:val="19F63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F80E78"/>
    <w:multiLevelType w:val="hybridMultilevel"/>
    <w:tmpl w:val="79A0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D1AD1"/>
    <w:multiLevelType w:val="hybridMultilevel"/>
    <w:tmpl w:val="7C4020AE"/>
    <w:lvl w:ilvl="0" w:tplc="79F8B1DA">
      <w:numFmt w:val="bullet"/>
      <w:lvlText w:val="–"/>
      <w:lvlJc w:val="left"/>
      <w:pPr>
        <w:ind w:left="120" w:firstLine="60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CE04F2"/>
    <w:multiLevelType w:val="hybridMultilevel"/>
    <w:tmpl w:val="F432A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2700268"/>
    <w:multiLevelType w:val="hybridMultilevel"/>
    <w:tmpl w:val="FFA068BE"/>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3" w15:restartNumberingAfterBreak="0">
    <w:nsid w:val="7DB273ED"/>
    <w:multiLevelType w:val="hybridMultilevel"/>
    <w:tmpl w:val="246A6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E8D29F2"/>
    <w:multiLevelType w:val="hybridMultilevel"/>
    <w:tmpl w:val="C0C00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EBF3F63"/>
    <w:multiLevelType w:val="hybridMultilevel"/>
    <w:tmpl w:val="D4100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7113637">
    <w:abstractNumId w:val="7"/>
  </w:num>
  <w:num w:numId="2" w16cid:durableId="175966681">
    <w:abstractNumId w:val="8"/>
  </w:num>
  <w:num w:numId="3" w16cid:durableId="904685476">
    <w:abstractNumId w:val="12"/>
  </w:num>
  <w:num w:numId="4" w16cid:durableId="271717265">
    <w:abstractNumId w:val="10"/>
  </w:num>
  <w:num w:numId="5" w16cid:durableId="1095518794">
    <w:abstractNumId w:val="15"/>
  </w:num>
  <w:num w:numId="6" w16cid:durableId="860782105">
    <w:abstractNumId w:val="6"/>
  </w:num>
  <w:num w:numId="7" w16cid:durableId="525094029">
    <w:abstractNumId w:val="4"/>
  </w:num>
  <w:num w:numId="8" w16cid:durableId="1212500652">
    <w:abstractNumId w:val="0"/>
  </w:num>
  <w:num w:numId="9" w16cid:durableId="1601067269">
    <w:abstractNumId w:val="5"/>
  </w:num>
  <w:num w:numId="10" w16cid:durableId="133528654">
    <w:abstractNumId w:val="1"/>
  </w:num>
  <w:num w:numId="11" w16cid:durableId="1934975088">
    <w:abstractNumId w:val="14"/>
  </w:num>
  <w:num w:numId="12" w16cid:durableId="286082494">
    <w:abstractNumId w:val="9"/>
  </w:num>
  <w:num w:numId="13" w16cid:durableId="793208199">
    <w:abstractNumId w:val="2"/>
  </w:num>
  <w:num w:numId="14" w16cid:durableId="1785998173">
    <w:abstractNumId w:val="3"/>
  </w:num>
  <w:num w:numId="15" w16cid:durableId="699477093">
    <w:abstractNumId w:val="11"/>
  </w:num>
  <w:num w:numId="16" w16cid:durableId="494996186">
    <w:abstractNumId w:val="13"/>
  </w:num>
  <w:num w:numId="17" w16cid:durableId="16425392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BC6"/>
    <w:rsid w:val="00000FB5"/>
    <w:rsid w:val="0000196E"/>
    <w:rsid w:val="00001AA0"/>
    <w:rsid w:val="00002567"/>
    <w:rsid w:val="00005146"/>
    <w:rsid w:val="00005588"/>
    <w:rsid w:val="000109CB"/>
    <w:rsid w:val="00012002"/>
    <w:rsid w:val="000131E9"/>
    <w:rsid w:val="00017E3C"/>
    <w:rsid w:val="00017E93"/>
    <w:rsid w:val="00021015"/>
    <w:rsid w:val="00023941"/>
    <w:rsid w:val="00027723"/>
    <w:rsid w:val="000324E1"/>
    <w:rsid w:val="0003280F"/>
    <w:rsid w:val="00033F49"/>
    <w:rsid w:val="00036AC1"/>
    <w:rsid w:val="00043986"/>
    <w:rsid w:val="00051201"/>
    <w:rsid w:val="000522F2"/>
    <w:rsid w:val="0005264C"/>
    <w:rsid w:val="0005272F"/>
    <w:rsid w:val="00052869"/>
    <w:rsid w:val="000538D5"/>
    <w:rsid w:val="000541AB"/>
    <w:rsid w:val="000542CC"/>
    <w:rsid w:val="000548F1"/>
    <w:rsid w:val="000551FD"/>
    <w:rsid w:val="0005550E"/>
    <w:rsid w:val="000579E4"/>
    <w:rsid w:val="00057D8A"/>
    <w:rsid w:val="00067A90"/>
    <w:rsid w:val="00070AF5"/>
    <w:rsid w:val="000710CD"/>
    <w:rsid w:val="00073224"/>
    <w:rsid w:val="000736C3"/>
    <w:rsid w:val="00073B66"/>
    <w:rsid w:val="000743F4"/>
    <w:rsid w:val="00074A88"/>
    <w:rsid w:val="00082DAD"/>
    <w:rsid w:val="00082F99"/>
    <w:rsid w:val="000854CA"/>
    <w:rsid w:val="000868F8"/>
    <w:rsid w:val="000901EA"/>
    <w:rsid w:val="0009411F"/>
    <w:rsid w:val="00094A20"/>
    <w:rsid w:val="00095337"/>
    <w:rsid w:val="00096A5E"/>
    <w:rsid w:val="000A02E2"/>
    <w:rsid w:val="000A14FE"/>
    <w:rsid w:val="000A2CA5"/>
    <w:rsid w:val="000A383F"/>
    <w:rsid w:val="000A767D"/>
    <w:rsid w:val="000B0277"/>
    <w:rsid w:val="000B396A"/>
    <w:rsid w:val="000B39BD"/>
    <w:rsid w:val="000B5162"/>
    <w:rsid w:val="000C0DAE"/>
    <w:rsid w:val="000C0E38"/>
    <w:rsid w:val="000C6CB8"/>
    <w:rsid w:val="000C7E78"/>
    <w:rsid w:val="000D29DD"/>
    <w:rsid w:val="000D3A8B"/>
    <w:rsid w:val="000D3C6C"/>
    <w:rsid w:val="000D40FA"/>
    <w:rsid w:val="000D48E9"/>
    <w:rsid w:val="000D62A6"/>
    <w:rsid w:val="000E05A8"/>
    <w:rsid w:val="000E38C8"/>
    <w:rsid w:val="000E42B8"/>
    <w:rsid w:val="000E6C90"/>
    <w:rsid w:val="000F2B1C"/>
    <w:rsid w:val="000F5E2B"/>
    <w:rsid w:val="000F5EAF"/>
    <w:rsid w:val="000F7377"/>
    <w:rsid w:val="00101E9D"/>
    <w:rsid w:val="00102AC6"/>
    <w:rsid w:val="00102E36"/>
    <w:rsid w:val="00103B37"/>
    <w:rsid w:val="001111FA"/>
    <w:rsid w:val="00113FF3"/>
    <w:rsid w:val="00116B3F"/>
    <w:rsid w:val="00117D86"/>
    <w:rsid w:val="001210E3"/>
    <w:rsid w:val="001222C9"/>
    <w:rsid w:val="00123648"/>
    <w:rsid w:val="001249FF"/>
    <w:rsid w:val="001255B5"/>
    <w:rsid w:val="0012725B"/>
    <w:rsid w:val="00130584"/>
    <w:rsid w:val="00133D1A"/>
    <w:rsid w:val="001356C8"/>
    <w:rsid w:val="00137BFE"/>
    <w:rsid w:val="00137DDF"/>
    <w:rsid w:val="00144371"/>
    <w:rsid w:val="00152E4D"/>
    <w:rsid w:val="00153FF7"/>
    <w:rsid w:val="001609E4"/>
    <w:rsid w:val="00161498"/>
    <w:rsid w:val="00163019"/>
    <w:rsid w:val="00167245"/>
    <w:rsid w:val="001676AB"/>
    <w:rsid w:val="00172629"/>
    <w:rsid w:val="00175605"/>
    <w:rsid w:val="001819B4"/>
    <w:rsid w:val="001843BA"/>
    <w:rsid w:val="00185923"/>
    <w:rsid w:val="00187B31"/>
    <w:rsid w:val="001903C4"/>
    <w:rsid w:val="001915EA"/>
    <w:rsid w:val="001927AB"/>
    <w:rsid w:val="00193A00"/>
    <w:rsid w:val="00195087"/>
    <w:rsid w:val="00196ACF"/>
    <w:rsid w:val="00197382"/>
    <w:rsid w:val="001A26AD"/>
    <w:rsid w:val="001A3540"/>
    <w:rsid w:val="001A6221"/>
    <w:rsid w:val="001A62EF"/>
    <w:rsid w:val="001A6B3D"/>
    <w:rsid w:val="001A7D6E"/>
    <w:rsid w:val="001B0AC2"/>
    <w:rsid w:val="001B10C5"/>
    <w:rsid w:val="001B3310"/>
    <w:rsid w:val="001B398A"/>
    <w:rsid w:val="001B4E1B"/>
    <w:rsid w:val="001B6BA1"/>
    <w:rsid w:val="001B70FC"/>
    <w:rsid w:val="001B7227"/>
    <w:rsid w:val="001C038A"/>
    <w:rsid w:val="001C3756"/>
    <w:rsid w:val="001C7B6F"/>
    <w:rsid w:val="001C7ED0"/>
    <w:rsid w:val="001D1C59"/>
    <w:rsid w:val="001D50CC"/>
    <w:rsid w:val="001E0AFF"/>
    <w:rsid w:val="001E0FDE"/>
    <w:rsid w:val="001E5037"/>
    <w:rsid w:val="001E5E2D"/>
    <w:rsid w:val="001F0961"/>
    <w:rsid w:val="001F40A1"/>
    <w:rsid w:val="002027C6"/>
    <w:rsid w:val="00203FE6"/>
    <w:rsid w:val="00206768"/>
    <w:rsid w:val="00206BF6"/>
    <w:rsid w:val="00210FAE"/>
    <w:rsid w:val="00211BF0"/>
    <w:rsid w:val="00212C34"/>
    <w:rsid w:val="00213E21"/>
    <w:rsid w:val="00213F07"/>
    <w:rsid w:val="002170F4"/>
    <w:rsid w:val="002175BB"/>
    <w:rsid w:val="00222751"/>
    <w:rsid w:val="00223682"/>
    <w:rsid w:val="00225A32"/>
    <w:rsid w:val="0023310D"/>
    <w:rsid w:val="002343CD"/>
    <w:rsid w:val="00236266"/>
    <w:rsid w:val="00236D04"/>
    <w:rsid w:val="00236D6D"/>
    <w:rsid w:val="002372FB"/>
    <w:rsid w:val="00240C43"/>
    <w:rsid w:val="00240C97"/>
    <w:rsid w:val="0024480A"/>
    <w:rsid w:val="0024539D"/>
    <w:rsid w:val="00245A61"/>
    <w:rsid w:val="0024617A"/>
    <w:rsid w:val="00247A1F"/>
    <w:rsid w:val="00256794"/>
    <w:rsid w:val="00257903"/>
    <w:rsid w:val="0026072C"/>
    <w:rsid w:val="00263D33"/>
    <w:rsid w:val="00265F3F"/>
    <w:rsid w:val="00267686"/>
    <w:rsid w:val="00273C92"/>
    <w:rsid w:val="00275185"/>
    <w:rsid w:val="0027635B"/>
    <w:rsid w:val="00276C8D"/>
    <w:rsid w:val="002772DA"/>
    <w:rsid w:val="00277BCC"/>
    <w:rsid w:val="00280BD0"/>
    <w:rsid w:val="00280D8C"/>
    <w:rsid w:val="002900A6"/>
    <w:rsid w:val="00291C3E"/>
    <w:rsid w:val="00292BC6"/>
    <w:rsid w:val="00293E19"/>
    <w:rsid w:val="0029667B"/>
    <w:rsid w:val="002A3706"/>
    <w:rsid w:val="002A37F5"/>
    <w:rsid w:val="002A5164"/>
    <w:rsid w:val="002A6E4F"/>
    <w:rsid w:val="002B06B5"/>
    <w:rsid w:val="002B0D3D"/>
    <w:rsid w:val="002B0DC9"/>
    <w:rsid w:val="002B1E4A"/>
    <w:rsid w:val="002B2D4A"/>
    <w:rsid w:val="002B3ABE"/>
    <w:rsid w:val="002B4A94"/>
    <w:rsid w:val="002B5651"/>
    <w:rsid w:val="002B63C8"/>
    <w:rsid w:val="002C18EE"/>
    <w:rsid w:val="002C1ACA"/>
    <w:rsid w:val="002C1EC3"/>
    <w:rsid w:val="002C22A4"/>
    <w:rsid w:val="002C29AB"/>
    <w:rsid w:val="002C2A99"/>
    <w:rsid w:val="002D3C45"/>
    <w:rsid w:val="002D4946"/>
    <w:rsid w:val="002D541D"/>
    <w:rsid w:val="002E0F15"/>
    <w:rsid w:val="002E6AB0"/>
    <w:rsid w:val="002F157B"/>
    <w:rsid w:val="002F642C"/>
    <w:rsid w:val="002F69C9"/>
    <w:rsid w:val="00307E42"/>
    <w:rsid w:val="00312C72"/>
    <w:rsid w:val="00314137"/>
    <w:rsid w:val="003149B2"/>
    <w:rsid w:val="00315A1F"/>
    <w:rsid w:val="003224A2"/>
    <w:rsid w:val="00322A19"/>
    <w:rsid w:val="003256E8"/>
    <w:rsid w:val="003351F9"/>
    <w:rsid w:val="00336D78"/>
    <w:rsid w:val="00336F26"/>
    <w:rsid w:val="00340D5D"/>
    <w:rsid w:val="003417D9"/>
    <w:rsid w:val="00344DDB"/>
    <w:rsid w:val="00345122"/>
    <w:rsid w:val="003475DC"/>
    <w:rsid w:val="00352FDD"/>
    <w:rsid w:val="0035338A"/>
    <w:rsid w:val="0036501A"/>
    <w:rsid w:val="003658D4"/>
    <w:rsid w:val="00367C6D"/>
    <w:rsid w:val="003720AB"/>
    <w:rsid w:val="00372749"/>
    <w:rsid w:val="00373456"/>
    <w:rsid w:val="00373589"/>
    <w:rsid w:val="00374E5B"/>
    <w:rsid w:val="00377DB1"/>
    <w:rsid w:val="00380962"/>
    <w:rsid w:val="003874A6"/>
    <w:rsid w:val="00387AEB"/>
    <w:rsid w:val="0039121F"/>
    <w:rsid w:val="00397598"/>
    <w:rsid w:val="003A4BA8"/>
    <w:rsid w:val="003A4BCA"/>
    <w:rsid w:val="003B0AE7"/>
    <w:rsid w:val="003B23F6"/>
    <w:rsid w:val="003B3770"/>
    <w:rsid w:val="003B3BC6"/>
    <w:rsid w:val="003B438F"/>
    <w:rsid w:val="003B47F7"/>
    <w:rsid w:val="003B4862"/>
    <w:rsid w:val="003C093D"/>
    <w:rsid w:val="003C0CF9"/>
    <w:rsid w:val="003C2A55"/>
    <w:rsid w:val="003C6990"/>
    <w:rsid w:val="003D1B93"/>
    <w:rsid w:val="003E0BCA"/>
    <w:rsid w:val="003E2A51"/>
    <w:rsid w:val="003E491D"/>
    <w:rsid w:val="003E6E87"/>
    <w:rsid w:val="003E72CB"/>
    <w:rsid w:val="003F0AD1"/>
    <w:rsid w:val="003F2274"/>
    <w:rsid w:val="003F6C67"/>
    <w:rsid w:val="003F7C3D"/>
    <w:rsid w:val="00400292"/>
    <w:rsid w:val="004006A9"/>
    <w:rsid w:val="004019FD"/>
    <w:rsid w:val="00405865"/>
    <w:rsid w:val="00406163"/>
    <w:rsid w:val="00406B12"/>
    <w:rsid w:val="004114AA"/>
    <w:rsid w:val="00411D74"/>
    <w:rsid w:val="004120A8"/>
    <w:rsid w:val="00412524"/>
    <w:rsid w:val="004143D3"/>
    <w:rsid w:val="0041458E"/>
    <w:rsid w:val="00415B75"/>
    <w:rsid w:val="0041727E"/>
    <w:rsid w:val="00420548"/>
    <w:rsid w:val="00420776"/>
    <w:rsid w:val="00420D97"/>
    <w:rsid w:val="00422B7A"/>
    <w:rsid w:val="00422C6E"/>
    <w:rsid w:val="00426AC9"/>
    <w:rsid w:val="00426F0F"/>
    <w:rsid w:val="00427550"/>
    <w:rsid w:val="00433989"/>
    <w:rsid w:val="00433B84"/>
    <w:rsid w:val="00434765"/>
    <w:rsid w:val="004450F6"/>
    <w:rsid w:val="004451DB"/>
    <w:rsid w:val="0044549B"/>
    <w:rsid w:val="004461C9"/>
    <w:rsid w:val="00450755"/>
    <w:rsid w:val="00451626"/>
    <w:rsid w:val="00451C6A"/>
    <w:rsid w:val="0045471B"/>
    <w:rsid w:val="00455135"/>
    <w:rsid w:val="0045528E"/>
    <w:rsid w:val="00456608"/>
    <w:rsid w:val="00457C6F"/>
    <w:rsid w:val="00460D74"/>
    <w:rsid w:val="00461302"/>
    <w:rsid w:val="0046321A"/>
    <w:rsid w:val="004652C3"/>
    <w:rsid w:val="00471562"/>
    <w:rsid w:val="00471838"/>
    <w:rsid w:val="00475757"/>
    <w:rsid w:val="0047599A"/>
    <w:rsid w:val="004767C7"/>
    <w:rsid w:val="004778B3"/>
    <w:rsid w:val="00477AA3"/>
    <w:rsid w:val="00482D40"/>
    <w:rsid w:val="004859B8"/>
    <w:rsid w:val="00486E59"/>
    <w:rsid w:val="00493A79"/>
    <w:rsid w:val="00493EAB"/>
    <w:rsid w:val="00495695"/>
    <w:rsid w:val="004966E6"/>
    <w:rsid w:val="00496E33"/>
    <w:rsid w:val="004A1D22"/>
    <w:rsid w:val="004A4B0E"/>
    <w:rsid w:val="004A7D98"/>
    <w:rsid w:val="004B5DF2"/>
    <w:rsid w:val="004B62EE"/>
    <w:rsid w:val="004B7D3A"/>
    <w:rsid w:val="004C1495"/>
    <w:rsid w:val="004C6EC1"/>
    <w:rsid w:val="004C7186"/>
    <w:rsid w:val="004C7D94"/>
    <w:rsid w:val="004D000C"/>
    <w:rsid w:val="004D1D52"/>
    <w:rsid w:val="004D25D6"/>
    <w:rsid w:val="004D2A47"/>
    <w:rsid w:val="004D6E03"/>
    <w:rsid w:val="004E35B5"/>
    <w:rsid w:val="004F2D06"/>
    <w:rsid w:val="0050059E"/>
    <w:rsid w:val="00501DD3"/>
    <w:rsid w:val="00505091"/>
    <w:rsid w:val="00505EF4"/>
    <w:rsid w:val="00515F69"/>
    <w:rsid w:val="00521F92"/>
    <w:rsid w:val="0052690E"/>
    <w:rsid w:val="00526CE8"/>
    <w:rsid w:val="00531D6F"/>
    <w:rsid w:val="00533668"/>
    <w:rsid w:val="005343A5"/>
    <w:rsid w:val="0053792C"/>
    <w:rsid w:val="00542991"/>
    <w:rsid w:val="00544919"/>
    <w:rsid w:val="00546343"/>
    <w:rsid w:val="005473F8"/>
    <w:rsid w:val="00547699"/>
    <w:rsid w:val="0055054F"/>
    <w:rsid w:val="0056338D"/>
    <w:rsid w:val="0056384D"/>
    <w:rsid w:val="00566722"/>
    <w:rsid w:val="00566C87"/>
    <w:rsid w:val="00567BAA"/>
    <w:rsid w:val="00572478"/>
    <w:rsid w:val="00572EC1"/>
    <w:rsid w:val="005750A4"/>
    <w:rsid w:val="00580444"/>
    <w:rsid w:val="00581F11"/>
    <w:rsid w:val="0058462C"/>
    <w:rsid w:val="0058483E"/>
    <w:rsid w:val="00585394"/>
    <w:rsid w:val="00587DF3"/>
    <w:rsid w:val="005907C9"/>
    <w:rsid w:val="005916AA"/>
    <w:rsid w:val="00595977"/>
    <w:rsid w:val="005A4401"/>
    <w:rsid w:val="005A50B9"/>
    <w:rsid w:val="005A5BD4"/>
    <w:rsid w:val="005A65E0"/>
    <w:rsid w:val="005A7000"/>
    <w:rsid w:val="005B2488"/>
    <w:rsid w:val="005B43CC"/>
    <w:rsid w:val="005B4A6A"/>
    <w:rsid w:val="005B6F6E"/>
    <w:rsid w:val="005B74D6"/>
    <w:rsid w:val="005C049E"/>
    <w:rsid w:val="005C1CA1"/>
    <w:rsid w:val="005C1D83"/>
    <w:rsid w:val="005C3A7B"/>
    <w:rsid w:val="005C5CA2"/>
    <w:rsid w:val="005D0F8C"/>
    <w:rsid w:val="005D28FB"/>
    <w:rsid w:val="005D512C"/>
    <w:rsid w:val="005E1C9B"/>
    <w:rsid w:val="005E2E92"/>
    <w:rsid w:val="005E4D01"/>
    <w:rsid w:val="005E7953"/>
    <w:rsid w:val="005E7C7D"/>
    <w:rsid w:val="005F1852"/>
    <w:rsid w:val="006002FD"/>
    <w:rsid w:val="006031D5"/>
    <w:rsid w:val="00604895"/>
    <w:rsid w:val="006077BE"/>
    <w:rsid w:val="006136DA"/>
    <w:rsid w:val="00614825"/>
    <w:rsid w:val="00624F48"/>
    <w:rsid w:val="006250B2"/>
    <w:rsid w:val="006318D5"/>
    <w:rsid w:val="00633D62"/>
    <w:rsid w:val="00634C80"/>
    <w:rsid w:val="006365AD"/>
    <w:rsid w:val="00636E7C"/>
    <w:rsid w:val="00637D50"/>
    <w:rsid w:val="00640F7E"/>
    <w:rsid w:val="0064123E"/>
    <w:rsid w:val="00645C1A"/>
    <w:rsid w:val="00650CF9"/>
    <w:rsid w:val="00652A26"/>
    <w:rsid w:val="00652A28"/>
    <w:rsid w:val="00653577"/>
    <w:rsid w:val="00653A2F"/>
    <w:rsid w:val="006571AD"/>
    <w:rsid w:val="0066352C"/>
    <w:rsid w:val="00671149"/>
    <w:rsid w:val="00675EB4"/>
    <w:rsid w:val="00680C8C"/>
    <w:rsid w:val="00681545"/>
    <w:rsid w:val="006829D9"/>
    <w:rsid w:val="00687E54"/>
    <w:rsid w:val="00690C8B"/>
    <w:rsid w:val="006917CC"/>
    <w:rsid w:val="006969FE"/>
    <w:rsid w:val="00697C52"/>
    <w:rsid w:val="006A3F34"/>
    <w:rsid w:val="006A66D7"/>
    <w:rsid w:val="006A7068"/>
    <w:rsid w:val="006B25A9"/>
    <w:rsid w:val="006B53E2"/>
    <w:rsid w:val="006B5C8C"/>
    <w:rsid w:val="006B6983"/>
    <w:rsid w:val="006B75F8"/>
    <w:rsid w:val="006C01EC"/>
    <w:rsid w:val="006C4F9E"/>
    <w:rsid w:val="006C7343"/>
    <w:rsid w:val="006D0DE5"/>
    <w:rsid w:val="006D2624"/>
    <w:rsid w:val="006D2AE1"/>
    <w:rsid w:val="006D2EE1"/>
    <w:rsid w:val="006D2EFC"/>
    <w:rsid w:val="006D37E3"/>
    <w:rsid w:val="006D4421"/>
    <w:rsid w:val="006D5AA2"/>
    <w:rsid w:val="006D74C7"/>
    <w:rsid w:val="006E02D1"/>
    <w:rsid w:val="006E6835"/>
    <w:rsid w:val="006F08AC"/>
    <w:rsid w:val="006F119A"/>
    <w:rsid w:val="006F14B2"/>
    <w:rsid w:val="006F2A5A"/>
    <w:rsid w:val="006F3DFD"/>
    <w:rsid w:val="006F409A"/>
    <w:rsid w:val="006F6D44"/>
    <w:rsid w:val="006F6E27"/>
    <w:rsid w:val="00702F4B"/>
    <w:rsid w:val="00706878"/>
    <w:rsid w:val="00707849"/>
    <w:rsid w:val="00707949"/>
    <w:rsid w:val="00713A06"/>
    <w:rsid w:val="007202C4"/>
    <w:rsid w:val="00720982"/>
    <w:rsid w:val="00721B41"/>
    <w:rsid w:val="00726B3A"/>
    <w:rsid w:val="00733B44"/>
    <w:rsid w:val="007341EE"/>
    <w:rsid w:val="00742461"/>
    <w:rsid w:val="00744DA4"/>
    <w:rsid w:val="00745F53"/>
    <w:rsid w:val="007463D3"/>
    <w:rsid w:val="0074679F"/>
    <w:rsid w:val="0074741B"/>
    <w:rsid w:val="007503E9"/>
    <w:rsid w:val="00750841"/>
    <w:rsid w:val="007523B3"/>
    <w:rsid w:val="00755041"/>
    <w:rsid w:val="0075535E"/>
    <w:rsid w:val="00762842"/>
    <w:rsid w:val="00767C2E"/>
    <w:rsid w:val="0077051A"/>
    <w:rsid w:val="00772FA1"/>
    <w:rsid w:val="007736BB"/>
    <w:rsid w:val="00773FA5"/>
    <w:rsid w:val="0077707C"/>
    <w:rsid w:val="007822D6"/>
    <w:rsid w:val="00784F7F"/>
    <w:rsid w:val="00785E62"/>
    <w:rsid w:val="0078782C"/>
    <w:rsid w:val="007912DC"/>
    <w:rsid w:val="00795613"/>
    <w:rsid w:val="00796A42"/>
    <w:rsid w:val="00796F3E"/>
    <w:rsid w:val="007A3305"/>
    <w:rsid w:val="007B2FE3"/>
    <w:rsid w:val="007B43ED"/>
    <w:rsid w:val="007B46A8"/>
    <w:rsid w:val="007B6259"/>
    <w:rsid w:val="007C01B1"/>
    <w:rsid w:val="007C134D"/>
    <w:rsid w:val="007C1D7D"/>
    <w:rsid w:val="007C5AD7"/>
    <w:rsid w:val="007C5B51"/>
    <w:rsid w:val="007C61AE"/>
    <w:rsid w:val="007C77B7"/>
    <w:rsid w:val="007D3506"/>
    <w:rsid w:val="007D6623"/>
    <w:rsid w:val="007D6E36"/>
    <w:rsid w:val="007E49EC"/>
    <w:rsid w:val="007E51FF"/>
    <w:rsid w:val="007F2351"/>
    <w:rsid w:val="008001E3"/>
    <w:rsid w:val="0080143B"/>
    <w:rsid w:val="008046DB"/>
    <w:rsid w:val="00806ED7"/>
    <w:rsid w:val="00810182"/>
    <w:rsid w:val="0081079E"/>
    <w:rsid w:val="008139BD"/>
    <w:rsid w:val="00816810"/>
    <w:rsid w:val="00823166"/>
    <w:rsid w:val="00824229"/>
    <w:rsid w:val="008246EC"/>
    <w:rsid w:val="0082710B"/>
    <w:rsid w:val="008274E8"/>
    <w:rsid w:val="00827FFE"/>
    <w:rsid w:val="008347E2"/>
    <w:rsid w:val="00835437"/>
    <w:rsid w:val="00843C5A"/>
    <w:rsid w:val="00843F11"/>
    <w:rsid w:val="008440C3"/>
    <w:rsid w:val="00844619"/>
    <w:rsid w:val="00845AD3"/>
    <w:rsid w:val="00847C9D"/>
    <w:rsid w:val="00851438"/>
    <w:rsid w:val="00851D80"/>
    <w:rsid w:val="008523B7"/>
    <w:rsid w:val="00856253"/>
    <w:rsid w:val="00861865"/>
    <w:rsid w:val="0086466F"/>
    <w:rsid w:val="00872D09"/>
    <w:rsid w:val="00872E27"/>
    <w:rsid w:val="008767DA"/>
    <w:rsid w:val="00880E13"/>
    <w:rsid w:val="00883249"/>
    <w:rsid w:val="00884734"/>
    <w:rsid w:val="00884B37"/>
    <w:rsid w:val="00884F20"/>
    <w:rsid w:val="00886392"/>
    <w:rsid w:val="00886478"/>
    <w:rsid w:val="00890D27"/>
    <w:rsid w:val="008947D9"/>
    <w:rsid w:val="008A44C2"/>
    <w:rsid w:val="008A75C8"/>
    <w:rsid w:val="008B0650"/>
    <w:rsid w:val="008B2ACC"/>
    <w:rsid w:val="008B679B"/>
    <w:rsid w:val="008B77F2"/>
    <w:rsid w:val="008C150E"/>
    <w:rsid w:val="008C3092"/>
    <w:rsid w:val="008C4FF8"/>
    <w:rsid w:val="008D0AE0"/>
    <w:rsid w:val="008D4394"/>
    <w:rsid w:val="008D4639"/>
    <w:rsid w:val="008E147F"/>
    <w:rsid w:val="008E7F16"/>
    <w:rsid w:val="008F43F0"/>
    <w:rsid w:val="008F5DC5"/>
    <w:rsid w:val="00904F35"/>
    <w:rsid w:val="009075EF"/>
    <w:rsid w:val="00911974"/>
    <w:rsid w:val="00920412"/>
    <w:rsid w:val="00923B93"/>
    <w:rsid w:val="00923F7E"/>
    <w:rsid w:val="00927BFB"/>
    <w:rsid w:val="0093120C"/>
    <w:rsid w:val="009353FD"/>
    <w:rsid w:val="00936D43"/>
    <w:rsid w:val="00937C14"/>
    <w:rsid w:val="00940CEC"/>
    <w:rsid w:val="009413FC"/>
    <w:rsid w:val="00941EAB"/>
    <w:rsid w:val="0094359F"/>
    <w:rsid w:val="00945446"/>
    <w:rsid w:val="00945BC4"/>
    <w:rsid w:val="00955640"/>
    <w:rsid w:val="009562D0"/>
    <w:rsid w:val="009566C7"/>
    <w:rsid w:val="00956EB2"/>
    <w:rsid w:val="009575D5"/>
    <w:rsid w:val="00960BDE"/>
    <w:rsid w:val="00964837"/>
    <w:rsid w:val="00964E86"/>
    <w:rsid w:val="009728C6"/>
    <w:rsid w:val="00974151"/>
    <w:rsid w:val="00974C1E"/>
    <w:rsid w:val="00980F26"/>
    <w:rsid w:val="00982B10"/>
    <w:rsid w:val="00982B4A"/>
    <w:rsid w:val="009865F0"/>
    <w:rsid w:val="00987271"/>
    <w:rsid w:val="00987985"/>
    <w:rsid w:val="00987CF7"/>
    <w:rsid w:val="00991CF3"/>
    <w:rsid w:val="0099294D"/>
    <w:rsid w:val="009939E9"/>
    <w:rsid w:val="00994CB0"/>
    <w:rsid w:val="00996789"/>
    <w:rsid w:val="00996ABF"/>
    <w:rsid w:val="009A22D8"/>
    <w:rsid w:val="009A3046"/>
    <w:rsid w:val="009A41F9"/>
    <w:rsid w:val="009A72AB"/>
    <w:rsid w:val="009B2831"/>
    <w:rsid w:val="009B299B"/>
    <w:rsid w:val="009B3D35"/>
    <w:rsid w:val="009B4E10"/>
    <w:rsid w:val="009B5332"/>
    <w:rsid w:val="009B7AC8"/>
    <w:rsid w:val="009C1A07"/>
    <w:rsid w:val="009C20BE"/>
    <w:rsid w:val="009C246B"/>
    <w:rsid w:val="009C2E5C"/>
    <w:rsid w:val="009C403A"/>
    <w:rsid w:val="009C45B6"/>
    <w:rsid w:val="009C54A5"/>
    <w:rsid w:val="009D0DAC"/>
    <w:rsid w:val="009D1095"/>
    <w:rsid w:val="009D2B33"/>
    <w:rsid w:val="009D46E3"/>
    <w:rsid w:val="009E0386"/>
    <w:rsid w:val="009E2CCC"/>
    <w:rsid w:val="009E2E5A"/>
    <w:rsid w:val="009E3852"/>
    <w:rsid w:val="009E5DC9"/>
    <w:rsid w:val="009E752A"/>
    <w:rsid w:val="009F1380"/>
    <w:rsid w:val="009F42D3"/>
    <w:rsid w:val="009F7A46"/>
    <w:rsid w:val="00A00D97"/>
    <w:rsid w:val="00A018D0"/>
    <w:rsid w:val="00A033E9"/>
    <w:rsid w:val="00A04A88"/>
    <w:rsid w:val="00A05E4C"/>
    <w:rsid w:val="00A06A24"/>
    <w:rsid w:val="00A1045A"/>
    <w:rsid w:val="00A16EE1"/>
    <w:rsid w:val="00A21235"/>
    <w:rsid w:val="00A23C2F"/>
    <w:rsid w:val="00A3073E"/>
    <w:rsid w:val="00A3105B"/>
    <w:rsid w:val="00A355DA"/>
    <w:rsid w:val="00A36391"/>
    <w:rsid w:val="00A401F9"/>
    <w:rsid w:val="00A4075D"/>
    <w:rsid w:val="00A42C18"/>
    <w:rsid w:val="00A47100"/>
    <w:rsid w:val="00A51BDF"/>
    <w:rsid w:val="00A5352D"/>
    <w:rsid w:val="00A54322"/>
    <w:rsid w:val="00A56CA9"/>
    <w:rsid w:val="00A62A4E"/>
    <w:rsid w:val="00A635E8"/>
    <w:rsid w:val="00A7212F"/>
    <w:rsid w:val="00A73282"/>
    <w:rsid w:val="00A759E7"/>
    <w:rsid w:val="00A75B42"/>
    <w:rsid w:val="00A778F8"/>
    <w:rsid w:val="00A779D7"/>
    <w:rsid w:val="00A77C9E"/>
    <w:rsid w:val="00A86BD7"/>
    <w:rsid w:val="00A87E71"/>
    <w:rsid w:val="00A903A1"/>
    <w:rsid w:val="00A9582F"/>
    <w:rsid w:val="00A964CB"/>
    <w:rsid w:val="00A97305"/>
    <w:rsid w:val="00A97D05"/>
    <w:rsid w:val="00AA0D1E"/>
    <w:rsid w:val="00AA4924"/>
    <w:rsid w:val="00AA5288"/>
    <w:rsid w:val="00AB1418"/>
    <w:rsid w:val="00AB7768"/>
    <w:rsid w:val="00AC2238"/>
    <w:rsid w:val="00AC2873"/>
    <w:rsid w:val="00AC292C"/>
    <w:rsid w:val="00AC3DE3"/>
    <w:rsid w:val="00AC6D7A"/>
    <w:rsid w:val="00AD0F28"/>
    <w:rsid w:val="00AD1EDD"/>
    <w:rsid w:val="00AD2BEF"/>
    <w:rsid w:val="00AD3AF4"/>
    <w:rsid w:val="00AD4502"/>
    <w:rsid w:val="00AD5EAE"/>
    <w:rsid w:val="00AD6856"/>
    <w:rsid w:val="00AD6A4D"/>
    <w:rsid w:val="00AE1491"/>
    <w:rsid w:val="00AE2A1F"/>
    <w:rsid w:val="00AE2DA1"/>
    <w:rsid w:val="00AE4967"/>
    <w:rsid w:val="00AE616E"/>
    <w:rsid w:val="00AF1CE3"/>
    <w:rsid w:val="00AF44F1"/>
    <w:rsid w:val="00AF786D"/>
    <w:rsid w:val="00AF7B30"/>
    <w:rsid w:val="00B017D4"/>
    <w:rsid w:val="00B02882"/>
    <w:rsid w:val="00B07234"/>
    <w:rsid w:val="00B10FC0"/>
    <w:rsid w:val="00B114A8"/>
    <w:rsid w:val="00B13288"/>
    <w:rsid w:val="00B13359"/>
    <w:rsid w:val="00B21AC8"/>
    <w:rsid w:val="00B223B9"/>
    <w:rsid w:val="00B26CDF"/>
    <w:rsid w:val="00B27118"/>
    <w:rsid w:val="00B34D92"/>
    <w:rsid w:val="00B41209"/>
    <w:rsid w:val="00B4155A"/>
    <w:rsid w:val="00B42D65"/>
    <w:rsid w:val="00B42DA3"/>
    <w:rsid w:val="00B45525"/>
    <w:rsid w:val="00B5375A"/>
    <w:rsid w:val="00B5442A"/>
    <w:rsid w:val="00B5485C"/>
    <w:rsid w:val="00B56094"/>
    <w:rsid w:val="00B611AA"/>
    <w:rsid w:val="00B624D0"/>
    <w:rsid w:val="00B638CF"/>
    <w:rsid w:val="00B709A3"/>
    <w:rsid w:val="00B7513A"/>
    <w:rsid w:val="00B76D9D"/>
    <w:rsid w:val="00B80A12"/>
    <w:rsid w:val="00B86E7A"/>
    <w:rsid w:val="00B878F7"/>
    <w:rsid w:val="00B91E4E"/>
    <w:rsid w:val="00B93C46"/>
    <w:rsid w:val="00B94AF1"/>
    <w:rsid w:val="00BA01B0"/>
    <w:rsid w:val="00BA0ACD"/>
    <w:rsid w:val="00BA0BB1"/>
    <w:rsid w:val="00BA1B3F"/>
    <w:rsid w:val="00BA3BD9"/>
    <w:rsid w:val="00BA4225"/>
    <w:rsid w:val="00BA7772"/>
    <w:rsid w:val="00BA7CA3"/>
    <w:rsid w:val="00BB18A5"/>
    <w:rsid w:val="00BB329B"/>
    <w:rsid w:val="00BB50FB"/>
    <w:rsid w:val="00BB52A9"/>
    <w:rsid w:val="00BB558C"/>
    <w:rsid w:val="00BB634D"/>
    <w:rsid w:val="00BB6A40"/>
    <w:rsid w:val="00BB768B"/>
    <w:rsid w:val="00BC2781"/>
    <w:rsid w:val="00BC49E3"/>
    <w:rsid w:val="00BD0B07"/>
    <w:rsid w:val="00BD132F"/>
    <w:rsid w:val="00BD3F42"/>
    <w:rsid w:val="00BD40D9"/>
    <w:rsid w:val="00BD7595"/>
    <w:rsid w:val="00BE0699"/>
    <w:rsid w:val="00BE199A"/>
    <w:rsid w:val="00BE61AA"/>
    <w:rsid w:val="00BE716B"/>
    <w:rsid w:val="00BE7DCC"/>
    <w:rsid w:val="00BF07E8"/>
    <w:rsid w:val="00BF0BD0"/>
    <w:rsid w:val="00BF280D"/>
    <w:rsid w:val="00BF3056"/>
    <w:rsid w:val="00BF3255"/>
    <w:rsid w:val="00BF3735"/>
    <w:rsid w:val="00BF4464"/>
    <w:rsid w:val="00BF4911"/>
    <w:rsid w:val="00BF558B"/>
    <w:rsid w:val="00BF7E9A"/>
    <w:rsid w:val="00C0425A"/>
    <w:rsid w:val="00C051A7"/>
    <w:rsid w:val="00C059A5"/>
    <w:rsid w:val="00C064D0"/>
    <w:rsid w:val="00C1079D"/>
    <w:rsid w:val="00C107AD"/>
    <w:rsid w:val="00C1093B"/>
    <w:rsid w:val="00C13853"/>
    <w:rsid w:val="00C13B6C"/>
    <w:rsid w:val="00C14761"/>
    <w:rsid w:val="00C16955"/>
    <w:rsid w:val="00C17DD9"/>
    <w:rsid w:val="00C24663"/>
    <w:rsid w:val="00C249E6"/>
    <w:rsid w:val="00C269D4"/>
    <w:rsid w:val="00C3147F"/>
    <w:rsid w:val="00C3153D"/>
    <w:rsid w:val="00C318C0"/>
    <w:rsid w:val="00C3246E"/>
    <w:rsid w:val="00C35177"/>
    <w:rsid w:val="00C364E0"/>
    <w:rsid w:val="00C44E13"/>
    <w:rsid w:val="00C47F72"/>
    <w:rsid w:val="00C51277"/>
    <w:rsid w:val="00C53CAF"/>
    <w:rsid w:val="00C544E9"/>
    <w:rsid w:val="00C54EFA"/>
    <w:rsid w:val="00C564E0"/>
    <w:rsid w:val="00C57D03"/>
    <w:rsid w:val="00C636BE"/>
    <w:rsid w:val="00C64282"/>
    <w:rsid w:val="00C65CF8"/>
    <w:rsid w:val="00C7156D"/>
    <w:rsid w:val="00C7350B"/>
    <w:rsid w:val="00C81C29"/>
    <w:rsid w:val="00C93B65"/>
    <w:rsid w:val="00C9586D"/>
    <w:rsid w:val="00CA420C"/>
    <w:rsid w:val="00CB1577"/>
    <w:rsid w:val="00CB2F83"/>
    <w:rsid w:val="00CB35B1"/>
    <w:rsid w:val="00CB6496"/>
    <w:rsid w:val="00CC1932"/>
    <w:rsid w:val="00CC5D9F"/>
    <w:rsid w:val="00CD1C4E"/>
    <w:rsid w:val="00CD3231"/>
    <w:rsid w:val="00CD6390"/>
    <w:rsid w:val="00CD63B3"/>
    <w:rsid w:val="00CE101B"/>
    <w:rsid w:val="00CE2181"/>
    <w:rsid w:val="00CE4D53"/>
    <w:rsid w:val="00CF0561"/>
    <w:rsid w:val="00CF4516"/>
    <w:rsid w:val="00CF62A9"/>
    <w:rsid w:val="00CF7A5E"/>
    <w:rsid w:val="00D01BEB"/>
    <w:rsid w:val="00D04EDD"/>
    <w:rsid w:val="00D05012"/>
    <w:rsid w:val="00D05CFA"/>
    <w:rsid w:val="00D144BE"/>
    <w:rsid w:val="00D156A2"/>
    <w:rsid w:val="00D16A43"/>
    <w:rsid w:val="00D17970"/>
    <w:rsid w:val="00D17A11"/>
    <w:rsid w:val="00D2122C"/>
    <w:rsid w:val="00D21F7B"/>
    <w:rsid w:val="00D260ED"/>
    <w:rsid w:val="00D2706E"/>
    <w:rsid w:val="00D27760"/>
    <w:rsid w:val="00D30E81"/>
    <w:rsid w:val="00D3122F"/>
    <w:rsid w:val="00D348A8"/>
    <w:rsid w:val="00D35D3B"/>
    <w:rsid w:val="00D36BDF"/>
    <w:rsid w:val="00D3747F"/>
    <w:rsid w:val="00D37724"/>
    <w:rsid w:val="00D42FB2"/>
    <w:rsid w:val="00D433DD"/>
    <w:rsid w:val="00D44E9E"/>
    <w:rsid w:val="00D464C7"/>
    <w:rsid w:val="00D4754B"/>
    <w:rsid w:val="00D52025"/>
    <w:rsid w:val="00D52DDC"/>
    <w:rsid w:val="00D56800"/>
    <w:rsid w:val="00D57D24"/>
    <w:rsid w:val="00D606B8"/>
    <w:rsid w:val="00D64006"/>
    <w:rsid w:val="00D6523C"/>
    <w:rsid w:val="00D661EB"/>
    <w:rsid w:val="00D67E9F"/>
    <w:rsid w:val="00D764C8"/>
    <w:rsid w:val="00D8063B"/>
    <w:rsid w:val="00D80EAE"/>
    <w:rsid w:val="00D8113C"/>
    <w:rsid w:val="00D81195"/>
    <w:rsid w:val="00D821E1"/>
    <w:rsid w:val="00D82755"/>
    <w:rsid w:val="00D8512C"/>
    <w:rsid w:val="00D8626F"/>
    <w:rsid w:val="00D91D08"/>
    <w:rsid w:val="00D94323"/>
    <w:rsid w:val="00D947F0"/>
    <w:rsid w:val="00D9516A"/>
    <w:rsid w:val="00D96266"/>
    <w:rsid w:val="00D97C94"/>
    <w:rsid w:val="00DA08E4"/>
    <w:rsid w:val="00DA0ADA"/>
    <w:rsid w:val="00DA47B0"/>
    <w:rsid w:val="00DB1646"/>
    <w:rsid w:val="00DB3094"/>
    <w:rsid w:val="00DB3B1C"/>
    <w:rsid w:val="00DB62F6"/>
    <w:rsid w:val="00DC187E"/>
    <w:rsid w:val="00DC25BC"/>
    <w:rsid w:val="00DC6AD9"/>
    <w:rsid w:val="00DD0E7A"/>
    <w:rsid w:val="00DD32B1"/>
    <w:rsid w:val="00DD37B6"/>
    <w:rsid w:val="00DD5477"/>
    <w:rsid w:val="00DD572E"/>
    <w:rsid w:val="00DD758D"/>
    <w:rsid w:val="00DE0F80"/>
    <w:rsid w:val="00DE539D"/>
    <w:rsid w:val="00DE5C20"/>
    <w:rsid w:val="00DF1E9D"/>
    <w:rsid w:val="00DF2165"/>
    <w:rsid w:val="00DF2D78"/>
    <w:rsid w:val="00DF39B9"/>
    <w:rsid w:val="00E00863"/>
    <w:rsid w:val="00E0322E"/>
    <w:rsid w:val="00E06687"/>
    <w:rsid w:val="00E14B0C"/>
    <w:rsid w:val="00E14E36"/>
    <w:rsid w:val="00E15E39"/>
    <w:rsid w:val="00E16775"/>
    <w:rsid w:val="00E22D37"/>
    <w:rsid w:val="00E26701"/>
    <w:rsid w:val="00E26D46"/>
    <w:rsid w:val="00E274BF"/>
    <w:rsid w:val="00E31092"/>
    <w:rsid w:val="00E34660"/>
    <w:rsid w:val="00E3605D"/>
    <w:rsid w:val="00E3678B"/>
    <w:rsid w:val="00E37CF9"/>
    <w:rsid w:val="00E37EA3"/>
    <w:rsid w:val="00E43AEB"/>
    <w:rsid w:val="00E4735B"/>
    <w:rsid w:val="00E47CCE"/>
    <w:rsid w:val="00E555B6"/>
    <w:rsid w:val="00E55904"/>
    <w:rsid w:val="00E55A2F"/>
    <w:rsid w:val="00E61889"/>
    <w:rsid w:val="00E67BFB"/>
    <w:rsid w:val="00E7120E"/>
    <w:rsid w:val="00E725E6"/>
    <w:rsid w:val="00E73818"/>
    <w:rsid w:val="00E73AB7"/>
    <w:rsid w:val="00E7462E"/>
    <w:rsid w:val="00E77F31"/>
    <w:rsid w:val="00E80D21"/>
    <w:rsid w:val="00E8187D"/>
    <w:rsid w:val="00E819A4"/>
    <w:rsid w:val="00E83E7B"/>
    <w:rsid w:val="00E877B3"/>
    <w:rsid w:val="00E902BC"/>
    <w:rsid w:val="00E918E9"/>
    <w:rsid w:val="00E91CC9"/>
    <w:rsid w:val="00E926F7"/>
    <w:rsid w:val="00E935BE"/>
    <w:rsid w:val="00E9587E"/>
    <w:rsid w:val="00EA1327"/>
    <w:rsid w:val="00EA21A6"/>
    <w:rsid w:val="00EA3B7D"/>
    <w:rsid w:val="00EB1281"/>
    <w:rsid w:val="00EB2475"/>
    <w:rsid w:val="00EB2DEF"/>
    <w:rsid w:val="00EB388A"/>
    <w:rsid w:val="00EB3CC6"/>
    <w:rsid w:val="00EB65FF"/>
    <w:rsid w:val="00EB7D49"/>
    <w:rsid w:val="00EC0E55"/>
    <w:rsid w:val="00EC1B5A"/>
    <w:rsid w:val="00EC54DF"/>
    <w:rsid w:val="00EC56A4"/>
    <w:rsid w:val="00EC72AD"/>
    <w:rsid w:val="00EC74B0"/>
    <w:rsid w:val="00ED1840"/>
    <w:rsid w:val="00ED1D4F"/>
    <w:rsid w:val="00ED1FB7"/>
    <w:rsid w:val="00ED4BAF"/>
    <w:rsid w:val="00ED58D0"/>
    <w:rsid w:val="00ED74F5"/>
    <w:rsid w:val="00ED7852"/>
    <w:rsid w:val="00EE32F3"/>
    <w:rsid w:val="00EE36D3"/>
    <w:rsid w:val="00EE436D"/>
    <w:rsid w:val="00EE53E0"/>
    <w:rsid w:val="00EE7F46"/>
    <w:rsid w:val="00EF1ECB"/>
    <w:rsid w:val="00EF2185"/>
    <w:rsid w:val="00EF34C2"/>
    <w:rsid w:val="00EF6B7D"/>
    <w:rsid w:val="00EF7608"/>
    <w:rsid w:val="00F00567"/>
    <w:rsid w:val="00F00768"/>
    <w:rsid w:val="00F0147D"/>
    <w:rsid w:val="00F02D6A"/>
    <w:rsid w:val="00F06967"/>
    <w:rsid w:val="00F07268"/>
    <w:rsid w:val="00F07A11"/>
    <w:rsid w:val="00F100DB"/>
    <w:rsid w:val="00F1119B"/>
    <w:rsid w:val="00F1240C"/>
    <w:rsid w:val="00F12566"/>
    <w:rsid w:val="00F14596"/>
    <w:rsid w:val="00F14BED"/>
    <w:rsid w:val="00F24BFD"/>
    <w:rsid w:val="00F25202"/>
    <w:rsid w:val="00F31D13"/>
    <w:rsid w:val="00F3225A"/>
    <w:rsid w:val="00F35DFD"/>
    <w:rsid w:val="00F36950"/>
    <w:rsid w:val="00F37EED"/>
    <w:rsid w:val="00F40123"/>
    <w:rsid w:val="00F4057F"/>
    <w:rsid w:val="00F44957"/>
    <w:rsid w:val="00F45F59"/>
    <w:rsid w:val="00F46AF9"/>
    <w:rsid w:val="00F4758E"/>
    <w:rsid w:val="00F51231"/>
    <w:rsid w:val="00F524F0"/>
    <w:rsid w:val="00F525EE"/>
    <w:rsid w:val="00F546FD"/>
    <w:rsid w:val="00F5775E"/>
    <w:rsid w:val="00F57A0C"/>
    <w:rsid w:val="00F62698"/>
    <w:rsid w:val="00F6466C"/>
    <w:rsid w:val="00F67838"/>
    <w:rsid w:val="00F70292"/>
    <w:rsid w:val="00F7494F"/>
    <w:rsid w:val="00F753C7"/>
    <w:rsid w:val="00F756FA"/>
    <w:rsid w:val="00F77F88"/>
    <w:rsid w:val="00F80906"/>
    <w:rsid w:val="00F80CA2"/>
    <w:rsid w:val="00F83CF8"/>
    <w:rsid w:val="00F847E0"/>
    <w:rsid w:val="00F8593E"/>
    <w:rsid w:val="00F877DF"/>
    <w:rsid w:val="00F928D4"/>
    <w:rsid w:val="00F959FD"/>
    <w:rsid w:val="00F96129"/>
    <w:rsid w:val="00FA117F"/>
    <w:rsid w:val="00FA2739"/>
    <w:rsid w:val="00FA2FBF"/>
    <w:rsid w:val="00FA450B"/>
    <w:rsid w:val="00FA4683"/>
    <w:rsid w:val="00FA4789"/>
    <w:rsid w:val="00FA6E60"/>
    <w:rsid w:val="00FA7020"/>
    <w:rsid w:val="00FB135B"/>
    <w:rsid w:val="00FB4EC6"/>
    <w:rsid w:val="00FB64B2"/>
    <w:rsid w:val="00FB6C19"/>
    <w:rsid w:val="00FC0343"/>
    <w:rsid w:val="00FC081A"/>
    <w:rsid w:val="00FC18F9"/>
    <w:rsid w:val="00FC5365"/>
    <w:rsid w:val="00FD523C"/>
    <w:rsid w:val="00FD7057"/>
    <w:rsid w:val="00FE1F76"/>
    <w:rsid w:val="00FE26B6"/>
    <w:rsid w:val="00FE2F03"/>
    <w:rsid w:val="00FE6722"/>
    <w:rsid w:val="00FF29FF"/>
    <w:rsid w:val="00FF4B3F"/>
    <w:rsid w:val="00FF6424"/>
    <w:rsid w:val="00FF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628AB"/>
  <w15:chartTrackingRefBased/>
  <w15:docId w15:val="{30064021-3E3F-4139-BCD4-EB2217B5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0FB"/>
    <w:pPr>
      <w:tabs>
        <w:tab w:val="center" w:pos="4680"/>
        <w:tab w:val="right" w:pos="9360"/>
      </w:tabs>
    </w:pPr>
  </w:style>
  <w:style w:type="character" w:customStyle="1" w:styleId="HeaderChar">
    <w:name w:val="Header Char"/>
    <w:basedOn w:val="DefaultParagraphFont"/>
    <w:link w:val="Header"/>
    <w:uiPriority w:val="99"/>
    <w:rsid w:val="00BB50FB"/>
  </w:style>
  <w:style w:type="paragraph" w:styleId="Footer">
    <w:name w:val="footer"/>
    <w:basedOn w:val="Normal"/>
    <w:link w:val="FooterChar"/>
    <w:uiPriority w:val="99"/>
    <w:unhideWhenUsed/>
    <w:rsid w:val="00BB50FB"/>
    <w:pPr>
      <w:tabs>
        <w:tab w:val="center" w:pos="4680"/>
        <w:tab w:val="right" w:pos="9360"/>
      </w:tabs>
    </w:pPr>
  </w:style>
  <w:style w:type="character" w:customStyle="1" w:styleId="FooterChar">
    <w:name w:val="Footer Char"/>
    <w:basedOn w:val="DefaultParagraphFont"/>
    <w:link w:val="Footer"/>
    <w:uiPriority w:val="99"/>
    <w:rsid w:val="00BB50FB"/>
  </w:style>
  <w:style w:type="paragraph" w:styleId="FootnoteText">
    <w:name w:val="footnote text"/>
    <w:basedOn w:val="Normal"/>
    <w:link w:val="FootnoteTextChar"/>
    <w:uiPriority w:val="99"/>
    <w:semiHidden/>
    <w:unhideWhenUsed/>
    <w:rsid w:val="00AD1EDD"/>
    <w:rPr>
      <w:sz w:val="20"/>
      <w:szCs w:val="20"/>
    </w:rPr>
  </w:style>
  <w:style w:type="character" w:customStyle="1" w:styleId="FootnoteTextChar">
    <w:name w:val="Footnote Text Char"/>
    <w:basedOn w:val="DefaultParagraphFont"/>
    <w:link w:val="FootnoteText"/>
    <w:uiPriority w:val="99"/>
    <w:semiHidden/>
    <w:rsid w:val="00AD1EDD"/>
    <w:rPr>
      <w:sz w:val="20"/>
      <w:szCs w:val="20"/>
    </w:rPr>
  </w:style>
  <w:style w:type="character" w:styleId="FootnoteReference">
    <w:name w:val="footnote reference"/>
    <w:basedOn w:val="DefaultParagraphFont"/>
    <w:uiPriority w:val="99"/>
    <w:semiHidden/>
    <w:unhideWhenUsed/>
    <w:rsid w:val="00AD1EDD"/>
    <w:rPr>
      <w:vertAlign w:val="superscript"/>
    </w:rPr>
  </w:style>
  <w:style w:type="character" w:styleId="Hyperlink">
    <w:name w:val="Hyperlink"/>
    <w:basedOn w:val="DefaultParagraphFont"/>
    <w:uiPriority w:val="99"/>
    <w:unhideWhenUsed/>
    <w:rsid w:val="009B2831"/>
    <w:rPr>
      <w:color w:val="0563C1" w:themeColor="hyperlink"/>
      <w:u w:val="single"/>
    </w:rPr>
  </w:style>
  <w:style w:type="paragraph" w:styleId="ListParagraph">
    <w:name w:val="List Paragraph"/>
    <w:basedOn w:val="Normal"/>
    <w:uiPriority w:val="34"/>
    <w:qFormat/>
    <w:rsid w:val="00C51277"/>
    <w:pPr>
      <w:ind w:left="720"/>
      <w:contextualSpacing/>
    </w:pPr>
  </w:style>
  <w:style w:type="paragraph" w:styleId="NoSpacing">
    <w:name w:val="No Spacing"/>
    <w:link w:val="NoSpacingChar"/>
    <w:uiPriority w:val="1"/>
    <w:qFormat/>
    <w:rsid w:val="000C6CB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C6CB8"/>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036A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AC1"/>
    <w:rPr>
      <w:rFonts w:ascii="Segoe UI" w:hAnsi="Segoe UI" w:cs="Segoe UI"/>
      <w:sz w:val="18"/>
      <w:szCs w:val="18"/>
    </w:rPr>
  </w:style>
  <w:style w:type="character" w:styleId="CommentReference">
    <w:name w:val="annotation reference"/>
    <w:basedOn w:val="DefaultParagraphFont"/>
    <w:uiPriority w:val="99"/>
    <w:semiHidden/>
    <w:unhideWhenUsed/>
    <w:rsid w:val="00C364E0"/>
    <w:rPr>
      <w:sz w:val="16"/>
      <w:szCs w:val="16"/>
    </w:rPr>
  </w:style>
  <w:style w:type="paragraph" w:styleId="CommentText">
    <w:name w:val="annotation text"/>
    <w:basedOn w:val="Normal"/>
    <w:link w:val="CommentTextChar"/>
    <w:uiPriority w:val="99"/>
    <w:semiHidden/>
    <w:unhideWhenUsed/>
    <w:rsid w:val="00C364E0"/>
    <w:rPr>
      <w:sz w:val="20"/>
      <w:szCs w:val="20"/>
    </w:rPr>
  </w:style>
  <w:style w:type="character" w:customStyle="1" w:styleId="CommentTextChar">
    <w:name w:val="Comment Text Char"/>
    <w:basedOn w:val="DefaultParagraphFont"/>
    <w:link w:val="CommentText"/>
    <w:uiPriority w:val="99"/>
    <w:semiHidden/>
    <w:rsid w:val="00C364E0"/>
    <w:rPr>
      <w:sz w:val="20"/>
      <w:szCs w:val="20"/>
    </w:rPr>
  </w:style>
  <w:style w:type="paragraph" w:styleId="CommentSubject">
    <w:name w:val="annotation subject"/>
    <w:basedOn w:val="CommentText"/>
    <w:next w:val="CommentText"/>
    <w:link w:val="CommentSubjectChar"/>
    <w:uiPriority w:val="99"/>
    <w:semiHidden/>
    <w:unhideWhenUsed/>
    <w:rsid w:val="00C364E0"/>
    <w:rPr>
      <w:b/>
      <w:bCs/>
    </w:rPr>
  </w:style>
  <w:style w:type="character" w:customStyle="1" w:styleId="CommentSubjectChar">
    <w:name w:val="Comment Subject Char"/>
    <w:basedOn w:val="CommentTextChar"/>
    <w:link w:val="CommentSubject"/>
    <w:uiPriority w:val="99"/>
    <w:semiHidden/>
    <w:rsid w:val="00C364E0"/>
    <w:rPr>
      <w:b/>
      <w:bCs/>
      <w:sz w:val="20"/>
      <w:szCs w:val="20"/>
    </w:rPr>
  </w:style>
  <w:style w:type="character" w:styleId="UnresolvedMention">
    <w:name w:val="Unresolved Mention"/>
    <w:basedOn w:val="DefaultParagraphFont"/>
    <w:uiPriority w:val="99"/>
    <w:semiHidden/>
    <w:unhideWhenUsed/>
    <w:rsid w:val="00EB3CC6"/>
    <w:rPr>
      <w:color w:val="605E5C"/>
      <w:shd w:val="clear" w:color="auto" w:fill="E1DFDD"/>
    </w:rPr>
  </w:style>
  <w:style w:type="paragraph" w:styleId="Revision">
    <w:name w:val="Revision"/>
    <w:hidden/>
    <w:uiPriority w:val="99"/>
    <w:semiHidden/>
    <w:rsid w:val="00810182"/>
  </w:style>
  <w:style w:type="character" w:styleId="FollowedHyperlink">
    <w:name w:val="FollowedHyperlink"/>
    <w:basedOn w:val="DefaultParagraphFont"/>
    <w:uiPriority w:val="99"/>
    <w:semiHidden/>
    <w:unhideWhenUsed/>
    <w:rsid w:val="00E725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2718">
      <w:bodyDiv w:val="1"/>
      <w:marLeft w:val="0"/>
      <w:marRight w:val="0"/>
      <w:marTop w:val="0"/>
      <w:marBottom w:val="0"/>
      <w:divBdr>
        <w:top w:val="none" w:sz="0" w:space="0" w:color="auto"/>
        <w:left w:val="none" w:sz="0" w:space="0" w:color="auto"/>
        <w:bottom w:val="none" w:sz="0" w:space="0" w:color="auto"/>
        <w:right w:val="none" w:sz="0" w:space="0" w:color="auto"/>
      </w:divBdr>
    </w:div>
    <w:div w:id="40134234">
      <w:bodyDiv w:val="1"/>
      <w:marLeft w:val="0"/>
      <w:marRight w:val="0"/>
      <w:marTop w:val="0"/>
      <w:marBottom w:val="0"/>
      <w:divBdr>
        <w:top w:val="none" w:sz="0" w:space="0" w:color="auto"/>
        <w:left w:val="none" w:sz="0" w:space="0" w:color="auto"/>
        <w:bottom w:val="none" w:sz="0" w:space="0" w:color="auto"/>
        <w:right w:val="none" w:sz="0" w:space="0" w:color="auto"/>
      </w:divBdr>
    </w:div>
    <w:div w:id="135682876">
      <w:bodyDiv w:val="1"/>
      <w:marLeft w:val="0"/>
      <w:marRight w:val="0"/>
      <w:marTop w:val="0"/>
      <w:marBottom w:val="0"/>
      <w:divBdr>
        <w:top w:val="none" w:sz="0" w:space="0" w:color="auto"/>
        <w:left w:val="none" w:sz="0" w:space="0" w:color="auto"/>
        <w:bottom w:val="none" w:sz="0" w:space="0" w:color="auto"/>
        <w:right w:val="none" w:sz="0" w:space="0" w:color="auto"/>
      </w:divBdr>
    </w:div>
    <w:div w:id="212470246">
      <w:bodyDiv w:val="1"/>
      <w:marLeft w:val="0"/>
      <w:marRight w:val="0"/>
      <w:marTop w:val="0"/>
      <w:marBottom w:val="0"/>
      <w:divBdr>
        <w:top w:val="none" w:sz="0" w:space="0" w:color="auto"/>
        <w:left w:val="none" w:sz="0" w:space="0" w:color="auto"/>
        <w:bottom w:val="none" w:sz="0" w:space="0" w:color="auto"/>
        <w:right w:val="none" w:sz="0" w:space="0" w:color="auto"/>
      </w:divBdr>
    </w:div>
    <w:div w:id="257176509">
      <w:bodyDiv w:val="1"/>
      <w:marLeft w:val="0"/>
      <w:marRight w:val="0"/>
      <w:marTop w:val="0"/>
      <w:marBottom w:val="0"/>
      <w:divBdr>
        <w:top w:val="none" w:sz="0" w:space="0" w:color="auto"/>
        <w:left w:val="none" w:sz="0" w:space="0" w:color="auto"/>
        <w:bottom w:val="none" w:sz="0" w:space="0" w:color="auto"/>
        <w:right w:val="none" w:sz="0" w:space="0" w:color="auto"/>
      </w:divBdr>
      <w:divsChild>
        <w:div w:id="767044735">
          <w:marLeft w:val="0"/>
          <w:marRight w:val="0"/>
          <w:marTop w:val="0"/>
          <w:marBottom w:val="0"/>
          <w:divBdr>
            <w:top w:val="none" w:sz="0" w:space="0" w:color="auto"/>
            <w:left w:val="none" w:sz="0" w:space="0" w:color="auto"/>
            <w:bottom w:val="none" w:sz="0" w:space="0" w:color="auto"/>
            <w:right w:val="none" w:sz="0" w:space="0" w:color="auto"/>
          </w:divBdr>
          <w:divsChild>
            <w:div w:id="789203534">
              <w:marLeft w:val="0"/>
              <w:marRight w:val="0"/>
              <w:marTop w:val="0"/>
              <w:marBottom w:val="0"/>
              <w:divBdr>
                <w:top w:val="none" w:sz="0" w:space="0" w:color="auto"/>
                <w:left w:val="none" w:sz="0" w:space="0" w:color="auto"/>
                <w:bottom w:val="none" w:sz="0" w:space="0" w:color="auto"/>
                <w:right w:val="none" w:sz="0" w:space="0" w:color="auto"/>
              </w:divBdr>
              <w:divsChild>
                <w:div w:id="15476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02017">
      <w:bodyDiv w:val="1"/>
      <w:marLeft w:val="0"/>
      <w:marRight w:val="0"/>
      <w:marTop w:val="0"/>
      <w:marBottom w:val="0"/>
      <w:divBdr>
        <w:top w:val="none" w:sz="0" w:space="0" w:color="auto"/>
        <w:left w:val="none" w:sz="0" w:space="0" w:color="auto"/>
        <w:bottom w:val="none" w:sz="0" w:space="0" w:color="auto"/>
        <w:right w:val="none" w:sz="0" w:space="0" w:color="auto"/>
      </w:divBdr>
    </w:div>
    <w:div w:id="646206337">
      <w:bodyDiv w:val="1"/>
      <w:marLeft w:val="0"/>
      <w:marRight w:val="0"/>
      <w:marTop w:val="0"/>
      <w:marBottom w:val="0"/>
      <w:divBdr>
        <w:top w:val="none" w:sz="0" w:space="0" w:color="auto"/>
        <w:left w:val="none" w:sz="0" w:space="0" w:color="auto"/>
        <w:bottom w:val="none" w:sz="0" w:space="0" w:color="auto"/>
        <w:right w:val="none" w:sz="0" w:space="0" w:color="auto"/>
      </w:divBdr>
    </w:div>
    <w:div w:id="797379190">
      <w:bodyDiv w:val="1"/>
      <w:marLeft w:val="0"/>
      <w:marRight w:val="0"/>
      <w:marTop w:val="0"/>
      <w:marBottom w:val="0"/>
      <w:divBdr>
        <w:top w:val="none" w:sz="0" w:space="0" w:color="auto"/>
        <w:left w:val="none" w:sz="0" w:space="0" w:color="auto"/>
        <w:bottom w:val="none" w:sz="0" w:space="0" w:color="auto"/>
        <w:right w:val="none" w:sz="0" w:space="0" w:color="auto"/>
      </w:divBdr>
    </w:div>
    <w:div w:id="939147226">
      <w:bodyDiv w:val="1"/>
      <w:marLeft w:val="0"/>
      <w:marRight w:val="0"/>
      <w:marTop w:val="0"/>
      <w:marBottom w:val="0"/>
      <w:divBdr>
        <w:top w:val="none" w:sz="0" w:space="0" w:color="auto"/>
        <w:left w:val="none" w:sz="0" w:space="0" w:color="auto"/>
        <w:bottom w:val="none" w:sz="0" w:space="0" w:color="auto"/>
        <w:right w:val="none" w:sz="0" w:space="0" w:color="auto"/>
      </w:divBdr>
    </w:div>
    <w:div w:id="993795369">
      <w:bodyDiv w:val="1"/>
      <w:marLeft w:val="0"/>
      <w:marRight w:val="0"/>
      <w:marTop w:val="0"/>
      <w:marBottom w:val="0"/>
      <w:divBdr>
        <w:top w:val="none" w:sz="0" w:space="0" w:color="auto"/>
        <w:left w:val="none" w:sz="0" w:space="0" w:color="auto"/>
        <w:bottom w:val="none" w:sz="0" w:space="0" w:color="auto"/>
        <w:right w:val="none" w:sz="0" w:space="0" w:color="auto"/>
      </w:divBdr>
    </w:div>
    <w:div w:id="1008409929">
      <w:bodyDiv w:val="1"/>
      <w:marLeft w:val="0"/>
      <w:marRight w:val="0"/>
      <w:marTop w:val="0"/>
      <w:marBottom w:val="0"/>
      <w:divBdr>
        <w:top w:val="none" w:sz="0" w:space="0" w:color="auto"/>
        <w:left w:val="none" w:sz="0" w:space="0" w:color="auto"/>
        <w:bottom w:val="none" w:sz="0" w:space="0" w:color="auto"/>
        <w:right w:val="none" w:sz="0" w:space="0" w:color="auto"/>
      </w:divBdr>
    </w:div>
    <w:div w:id="1112017571">
      <w:bodyDiv w:val="1"/>
      <w:marLeft w:val="0"/>
      <w:marRight w:val="0"/>
      <w:marTop w:val="0"/>
      <w:marBottom w:val="0"/>
      <w:divBdr>
        <w:top w:val="none" w:sz="0" w:space="0" w:color="auto"/>
        <w:left w:val="none" w:sz="0" w:space="0" w:color="auto"/>
        <w:bottom w:val="none" w:sz="0" w:space="0" w:color="auto"/>
        <w:right w:val="none" w:sz="0" w:space="0" w:color="auto"/>
      </w:divBdr>
    </w:div>
    <w:div w:id="1164079869">
      <w:bodyDiv w:val="1"/>
      <w:marLeft w:val="0"/>
      <w:marRight w:val="0"/>
      <w:marTop w:val="0"/>
      <w:marBottom w:val="0"/>
      <w:divBdr>
        <w:top w:val="none" w:sz="0" w:space="0" w:color="auto"/>
        <w:left w:val="none" w:sz="0" w:space="0" w:color="auto"/>
        <w:bottom w:val="none" w:sz="0" w:space="0" w:color="auto"/>
        <w:right w:val="none" w:sz="0" w:space="0" w:color="auto"/>
      </w:divBdr>
    </w:div>
    <w:div w:id="1221672193">
      <w:bodyDiv w:val="1"/>
      <w:marLeft w:val="0"/>
      <w:marRight w:val="0"/>
      <w:marTop w:val="0"/>
      <w:marBottom w:val="0"/>
      <w:divBdr>
        <w:top w:val="none" w:sz="0" w:space="0" w:color="auto"/>
        <w:left w:val="none" w:sz="0" w:space="0" w:color="auto"/>
        <w:bottom w:val="none" w:sz="0" w:space="0" w:color="auto"/>
        <w:right w:val="none" w:sz="0" w:space="0" w:color="auto"/>
      </w:divBdr>
    </w:div>
    <w:div w:id="1934973663">
      <w:bodyDiv w:val="1"/>
      <w:marLeft w:val="0"/>
      <w:marRight w:val="0"/>
      <w:marTop w:val="0"/>
      <w:marBottom w:val="0"/>
      <w:divBdr>
        <w:top w:val="none" w:sz="0" w:space="0" w:color="auto"/>
        <w:left w:val="none" w:sz="0" w:space="0" w:color="auto"/>
        <w:bottom w:val="none" w:sz="0" w:space="0" w:color="auto"/>
        <w:right w:val="none" w:sz="0" w:space="0" w:color="auto"/>
      </w:divBdr>
    </w:div>
    <w:div w:id="1973706222">
      <w:bodyDiv w:val="1"/>
      <w:marLeft w:val="0"/>
      <w:marRight w:val="0"/>
      <w:marTop w:val="0"/>
      <w:marBottom w:val="0"/>
      <w:divBdr>
        <w:top w:val="none" w:sz="0" w:space="0" w:color="auto"/>
        <w:left w:val="none" w:sz="0" w:space="0" w:color="auto"/>
        <w:bottom w:val="none" w:sz="0" w:space="0" w:color="auto"/>
        <w:right w:val="none" w:sz="0" w:space="0" w:color="auto"/>
      </w:divBdr>
      <w:divsChild>
        <w:div w:id="814681222">
          <w:marLeft w:val="0"/>
          <w:marRight w:val="0"/>
          <w:marTop w:val="0"/>
          <w:marBottom w:val="0"/>
          <w:divBdr>
            <w:top w:val="none" w:sz="0" w:space="0" w:color="auto"/>
            <w:left w:val="none" w:sz="0" w:space="0" w:color="auto"/>
            <w:bottom w:val="none" w:sz="0" w:space="0" w:color="auto"/>
            <w:right w:val="none" w:sz="0" w:space="0" w:color="auto"/>
          </w:divBdr>
          <w:divsChild>
            <w:div w:id="554776000">
              <w:marLeft w:val="0"/>
              <w:marRight w:val="0"/>
              <w:marTop w:val="0"/>
              <w:marBottom w:val="0"/>
              <w:divBdr>
                <w:top w:val="none" w:sz="0" w:space="0" w:color="auto"/>
                <w:left w:val="none" w:sz="0" w:space="0" w:color="auto"/>
                <w:bottom w:val="none" w:sz="0" w:space="0" w:color="auto"/>
                <w:right w:val="none" w:sz="0" w:space="0" w:color="auto"/>
              </w:divBdr>
              <w:divsChild>
                <w:div w:id="7343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9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uc.vermont.gov/document-category/repor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9B18683D4C5DA4C98B20D2807E0D6B4" ma:contentTypeVersion="15" ma:contentTypeDescription="Create a new document." ma:contentTypeScope="" ma:versionID="3468d8712b0220c9f80c0655736b1f86">
  <xsd:schema xmlns:xsd="http://www.w3.org/2001/XMLSchema" xmlns:xs="http://www.w3.org/2001/XMLSchema" xmlns:p="http://schemas.microsoft.com/office/2006/metadata/properties" xmlns:ns1="http://schemas.microsoft.com/sharepoint/v3" xmlns:ns3="7bb321e5-3b88-45d9-aff3-d098b82160d8" xmlns:ns4="f65b2c4a-568d-4451-8d8e-32ebee9fd86c" targetNamespace="http://schemas.microsoft.com/office/2006/metadata/properties" ma:root="true" ma:fieldsID="c40996b5ff64ae606569901eb38bdd12" ns1:_="" ns3:_="" ns4:_="">
    <xsd:import namespace="http://schemas.microsoft.com/sharepoint/v3"/>
    <xsd:import namespace="7bb321e5-3b88-45d9-aff3-d098b82160d8"/>
    <xsd:import namespace="f65b2c4a-568d-4451-8d8e-32ebee9fd86c"/>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b321e5-3b88-45d9-aff3-d098b82160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5b2c4a-568d-4451-8d8e-32ebee9fd86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7bb321e5-3b88-45d9-aff3-d098b82160d8" xsi:nil="true"/>
  </documentManagement>
</p:properties>
</file>

<file path=customXml/itemProps1.xml><?xml version="1.0" encoding="utf-8"?>
<ds:datastoreItem xmlns:ds="http://schemas.openxmlformats.org/officeDocument/2006/customXml" ds:itemID="{4B067CBE-7326-44D9-AA0A-30F449355142}">
  <ds:schemaRefs>
    <ds:schemaRef ds:uri="http://schemas.microsoft.com/sharepoint/v3/contenttype/forms"/>
  </ds:schemaRefs>
</ds:datastoreItem>
</file>

<file path=customXml/itemProps2.xml><?xml version="1.0" encoding="utf-8"?>
<ds:datastoreItem xmlns:ds="http://schemas.openxmlformats.org/officeDocument/2006/customXml" ds:itemID="{D29882C3-2C96-4FBD-8627-8F3225109865}">
  <ds:schemaRefs>
    <ds:schemaRef ds:uri="http://schemas.openxmlformats.org/officeDocument/2006/bibliography"/>
  </ds:schemaRefs>
</ds:datastoreItem>
</file>

<file path=customXml/itemProps3.xml><?xml version="1.0" encoding="utf-8"?>
<ds:datastoreItem xmlns:ds="http://schemas.openxmlformats.org/officeDocument/2006/customXml" ds:itemID="{08053D3A-1E83-4356-B1AC-24E7C9DE8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b321e5-3b88-45d9-aff3-d098b82160d8"/>
    <ds:schemaRef ds:uri="f65b2c4a-568d-4451-8d8e-32ebee9fd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DD02C4-9114-4918-A223-052F68677B4C}">
  <ds:schemaRefs>
    <ds:schemaRef ds:uri="http://schemas.microsoft.com/office/2006/metadata/properties"/>
    <ds:schemaRef ds:uri="http://schemas.microsoft.com/office/infopath/2007/PartnerControls"/>
    <ds:schemaRef ds:uri="http://schemas.microsoft.com/sharepoint/v3"/>
    <ds:schemaRef ds:uri="7bb321e5-3b88-45d9-aff3-d098b82160d8"/>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4328</Words>
  <Characters>24671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State of VermontPublic Utility CommissionANNUAL REPORT2019ISSUED: FEBRUARY 1, 2020</vt:lpstr>
    </vt:vector>
  </TitlesOfParts>
  <Company/>
  <LinksUpToDate>false</LinksUpToDate>
  <CharactersWithSpaces>28942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VermontPublic Utility CommissionANNUAL REPORT2019ISSUED: FEBRUARY 1, 2020</dc:title>
  <dc:subject/>
  <dc:creator>Roisman, Anthony</dc:creator>
  <cp:keywords/>
  <dc:description/>
  <cp:lastModifiedBy>Bishop, Ann</cp:lastModifiedBy>
  <cp:revision>3</cp:revision>
  <cp:lastPrinted>2020-01-31T19:01:00Z</cp:lastPrinted>
  <dcterms:created xsi:type="dcterms:W3CDTF">2023-04-05T18:51:00Z</dcterms:created>
  <dcterms:modified xsi:type="dcterms:W3CDTF">2023-04-19T18:52:00Z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0x01010099B18683D4C5DA4C98B20D2807E0D6B4</vt:lpwstr>
  </property>
</Properties>
</file>