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5B94AB" w14:textId="53D1A94A" w:rsidR="003D5399" w:rsidRPr="003D5399" w:rsidRDefault="003D5399" w:rsidP="003D5399">
      <w:pPr>
        <w:pStyle w:val="BodyText"/>
        <w:ind w:left="144" w:right="29" w:firstLine="0"/>
        <w:rPr>
          <w:rFonts w:asciiTheme="minorHAnsi" w:hAnsiTheme="minorHAnsi" w:cstheme="minorHAnsi"/>
        </w:rPr>
      </w:pPr>
      <w:r w:rsidRPr="003D5399">
        <w:rPr>
          <w:rFonts w:asciiTheme="minorHAnsi" w:hAnsiTheme="minorHAnsi" w:cstheme="minorHAnsi"/>
        </w:rPr>
        <w:t>TAG Responses to Opinion Dynamics’ Responses to TAG’s 8 July 2024 memo [Draft]</w:t>
      </w:r>
    </w:p>
    <w:p w14:paraId="66552E8C" w14:textId="5EC6D0DD" w:rsidR="003D5399" w:rsidRPr="003D5399" w:rsidRDefault="003D5399" w:rsidP="003D5399">
      <w:pPr>
        <w:pStyle w:val="BodyText"/>
        <w:ind w:left="144" w:right="29" w:firstLine="0"/>
        <w:rPr>
          <w:rFonts w:asciiTheme="minorHAnsi" w:hAnsiTheme="minorHAnsi" w:cstheme="minorHAnsi"/>
        </w:rPr>
      </w:pPr>
      <w:r w:rsidRPr="003D5399">
        <w:rPr>
          <w:rFonts w:asciiTheme="minorHAnsi" w:hAnsiTheme="minorHAnsi" w:cstheme="minorHAnsi"/>
        </w:rPr>
        <w:t>Date: 8 August 2024</w:t>
      </w:r>
    </w:p>
    <w:p w14:paraId="31910A87" w14:textId="68E6028A" w:rsidR="003D5399" w:rsidRDefault="003D5399" w:rsidP="003D5399">
      <w:pPr>
        <w:pStyle w:val="BodyText"/>
        <w:ind w:left="144" w:right="29" w:firstLine="0"/>
        <w:rPr>
          <w:rFonts w:asciiTheme="minorHAnsi" w:hAnsiTheme="minorHAnsi" w:cstheme="minorHAnsi"/>
        </w:rPr>
      </w:pPr>
      <w:r>
        <w:rPr>
          <w:rFonts w:asciiTheme="minorHAnsi" w:hAnsiTheme="minorHAnsi" w:cstheme="minorHAnsi"/>
        </w:rPr>
        <w:t>Note: TAG original in black font, OD responses in blue, and TAG responses in red</w:t>
      </w:r>
    </w:p>
    <w:p w14:paraId="1F1929FA" w14:textId="77777777" w:rsidR="003D5399" w:rsidRDefault="003D5399" w:rsidP="003D5399">
      <w:pPr>
        <w:pStyle w:val="BodyText"/>
        <w:ind w:left="144" w:right="29" w:firstLine="0"/>
        <w:rPr>
          <w:rFonts w:asciiTheme="minorHAnsi" w:hAnsiTheme="minorHAnsi" w:cstheme="minorHAnsi"/>
        </w:rPr>
      </w:pPr>
    </w:p>
    <w:p w14:paraId="0864D0CE" w14:textId="5226892C" w:rsidR="003D5399" w:rsidRPr="003D5399" w:rsidRDefault="003D5399" w:rsidP="003D5399">
      <w:pPr>
        <w:pStyle w:val="BodyText"/>
        <w:ind w:left="144" w:right="29" w:firstLine="0"/>
        <w:jc w:val="center"/>
        <w:rPr>
          <w:rFonts w:asciiTheme="minorHAnsi" w:hAnsiTheme="minorHAnsi" w:cstheme="minorHAnsi"/>
        </w:rPr>
      </w:pPr>
      <w:r w:rsidRPr="003D5399">
        <w:rPr>
          <w:rFonts w:asciiTheme="minorHAnsi" w:hAnsiTheme="minorHAnsi" w:cstheme="minorHAnsi"/>
        </w:rPr>
        <w:t>*</w:t>
      </w:r>
      <w:r>
        <w:rPr>
          <w:rFonts w:asciiTheme="minorHAnsi" w:hAnsiTheme="minorHAnsi" w:cstheme="minorHAnsi"/>
        </w:rPr>
        <w:t xml:space="preserve"> * * * *</w:t>
      </w:r>
    </w:p>
    <w:p w14:paraId="0CA38577" w14:textId="77777777" w:rsidR="003D5399" w:rsidRDefault="003D5399" w:rsidP="003D5399">
      <w:pPr>
        <w:pStyle w:val="BodyText"/>
        <w:ind w:left="144" w:right="29" w:firstLine="0"/>
      </w:pPr>
    </w:p>
    <w:p w14:paraId="53FAEFCF" w14:textId="130D96B7" w:rsidR="00F912D4" w:rsidRDefault="00D613E2">
      <w:pPr>
        <w:pStyle w:val="BodyText"/>
        <w:spacing w:before="81"/>
        <w:ind w:left="140" w:right="2252" w:firstLine="0"/>
      </w:pPr>
      <w:r>
        <w:t>To: Deirdre Morris, Thomas Knauer, Vermont Public Utility Commission From: Rick Weston, Chair, CHS Technical Advisory Group</w:t>
      </w:r>
    </w:p>
    <w:p w14:paraId="5CCEBC91" w14:textId="77777777" w:rsidR="00F912D4" w:rsidRDefault="00D613E2">
      <w:pPr>
        <w:pStyle w:val="BodyText"/>
        <w:spacing w:before="2"/>
        <w:ind w:left="140" w:right="7359" w:firstLine="0"/>
      </w:pPr>
      <w:r>
        <w:t>Date: 8 July 2024 cc.: TAG members</w:t>
      </w:r>
    </w:p>
    <w:p w14:paraId="0224E4A4" w14:textId="77777777" w:rsidR="00F912D4" w:rsidRDefault="00F912D4">
      <w:pPr>
        <w:pStyle w:val="BodyText"/>
        <w:spacing w:before="1"/>
        <w:ind w:left="0" w:firstLine="0"/>
      </w:pPr>
    </w:p>
    <w:p w14:paraId="5C641283" w14:textId="77777777" w:rsidR="00F912D4" w:rsidRDefault="00D613E2">
      <w:pPr>
        <w:pStyle w:val="BodyText"/>
        <w:spacing w:after="19"/>
        <w:ind w:left="140" w:firstLine="0"/>
      </w:pPr>
      <w:r>
        <w:t>Re: Early Win Measure Characterizations</w:t>
      </w:r>
    </w:p>
    <w:p w14:paraId="06270882" w14:textId="0A1AA1BF" w:rsidR="00F912D4" w:rsidRDefault="00D613E2">
      <w:pPr>
        <w:pStyle w:val="BodyText"/>
        <w:spacing w:line="30" w:lineRule="exact"/>
        <w:ind w:left="96" w:firstLine="0"/>
        <w:rPr>
          <w:sz w:val="3"/>
        </w:rPr>
      </w:pPr>
      <w:r>
        <w:rPr>
          <w:noProof/>
          <w:sz w:val="3"/>
        </w:rPr>
        <mc:AlternateContent>
          <mc:Choice Requires="wpg">
            <w:drawing>
              <wp:inline distT="0" distB="0" distL="0" distR="0" wp14:anchorId="1B269561" wp14:editId="3F2F068A">
                <wp:extent cx="5763895" cy="18415"/>
                <wp:effectExtent l="11430" t="3810" r="15875" b="6350"/>
                <wp:docPr id="585652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3895" cy="18415"/>
                          <a:chOff x="0" y="0"/>
                          <a:chExt cx="9077" cy="29"/>
                        </a:xfrm>
                      </wpg:grpSpPr>
                      <wps:wsp>
                        <wps:cNvPr id="7323572" name="Line 3"/>
                        <wps:cNvCnPr>
                          <a:cxnSpLocks noChangeShapeType="1"/>
                        </wps:cNvCnPr>
                        <wps:spPr bwMode="auto">
                          <a:xfrm>
                            <a:off x="0" y="14"/>
                            <a:ext cx="9077"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C6A6731" id="Group 2" o:spid="_x0000_s1026" style="width:453.85pt;height:1.45pt;mso-position-horizontal-relative:char;mso-position-vertical-relative:line" coordsize="9077,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">
                <v:line id="Line 3" o:spid="_x0000_s1027" style="position:absolute;visibility:visible;mso-wrap-style:square" from="0,14" to="907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" strokeweight="1.44pt"/>
                <w10:anchorlock/>
              </v:group>
            </w:pict>
          </mc:Fallback>
        </mc:AlternateContent>
      </w:r>
    </w:p>
    <w:p w14:paraId="227E1056" w14:textId="77777777" w:rsidR="00F912D4" w:rsidRDefault="00F912D4">
      <w:pPr>
        <w:pStyle w:val="BodyText"/>
        <w:spacing w:before="10"/>
        <w:ind w:left="0" w:firstLine="0"/>
        <w:rPr>
          <w:sz w:val="14"/>
        </w:rPr>
      </w:pPr>
    </w:p>
    <w:p w14:paraId="5945740E" w14:textId="77777777" w:rsidR="00F912D4" w:rsidRDefault="00D613E2">
      <w:pPr>
        <w:pStyle w:val="BodyText"/>
        <w:spacing w:before="100"/>
        <w:ind w:left="140" w:right="183" w:firstLine="0"/>
      </w:pPr>
      <w:r>
        <w:t>Members of the TAG have reviewed Opinion Dynamics’ document, “Vermont Clean Heat Standard: Early Win Measure Characterizations” and its cover memo, dated June 28</w:t>
      </w:r>
      <w:proofErr w:type="spellStart"/>
      <w:r>
        <w:rPr>
          <w:position w:val="9"/>
          <w:sz w:val="14"/>
        </w:rPr>
        <w:t>th</w:t>
      </w:r>
      <w:proofErr w:type="spellEnd"/>
      <w:r>
        <w:t>. In preparation for the upcoming meeting of the full TAG (this Thursday, July 11</w:t>
      </w:r>
      <w:proofErr w:type="spellStart"/>
      <w:r>
        <w:rPr>
          <w:position w:val="9"/>
          <w:sz w:val="14"/>
        </w:rPr>
        <w:t>th</w:t>
      </w:r>
      <w:proofErr w:type="spellEnd"/>
      <w:r>
        <w:t>) and our discussion with Opinion Dynamics staff about the characterizations, a subset of TAG members met today to share reactions to the documents and identify questions and issues in want of fuller exploration. I forward them to you now, for sharing with Opinion Dynamics before Thursday’s meeting. The outline of our questions follows that of the characterizations document.</w:t>
      </w:r>
    </w:p>
    <w:p w14:paraId="58821B7F" w14:textId="77777777" w:rsidR="00F912D4" w:rsidRDefault="00F912D4">
      <w:pPr>
        <w:pStyle w:val="BodyText"/>
        <w:spacing w:before="3"/>
        <w:ind w:left="0" w:firstLine="0"/>
        <w:rPr>
          <w:sz w:val="23"/>
        </w:rPr>
      </w:pPr>
    </w:p>
    <w:p w14:paraId="1265ABE2" w14:textId="77777777" w:rsidR="00F912D4" w:rsidRDefault="00D613E2">
      <w:pPr>
        <w:pStyle w:val="BodyText"/>
        <w:spacing w:before="1"/>
        <w:ind w:left="140" w:firstLine="0"/>
      </w:pPr>
      <w:r>
        <w:t>Thank you.</w:t>
      </w:r>
    </w:p>
    <w:p w14:paraId="617FC149" w14:textId="77777777" w:rsidR="00F912D4" w:rsidRDefault="00F912D4">
      <w:pPr>
        <w:pStyle w:val="BodyText"/>
        <w:spacing w:before="3"/>
        <w:ind w:left="0" w:firstLine="0"/>
        <w:rPr>
          <w:sz w:val="15"/>
        </w:rPr>
      </w:pPr>
    </w:p>
    <w:p w14:paraId="7D26F298" w14:textId="77777777" w:rsidR="00F912D4" w:rsidRDefault="00D613E2">
      <w:pPr>
        <w:pStyle w:val="Heading1"/>
        <w:spacing w:before="100"/>
        <w:ind w:left="4216" w:right="4216"/>
        <w:jc w:val="center"/>
      </w:pPr>
      <w:r>
        <w:t>* * * * *</w:t>
      </w:r>
    </w:p>
    <w:p w14:paraId="5A35B2B2" w14:textId="77777777" w:rsidR="00F912D4" w:rsidRDefault="00F912D4">
      <w:pPr>
        <w:pStyle w:val="BodyText"/>
        <w:spacing w:before="9"/>
        <w:ind w:left="0" w:firstLine="0"/>
        <w:rPr>
          <w:b/>
          <w:sz w:val="23"/>
        </w:rPr>
      </w:pPr>
    </w:p>
    <w:p w14:paraId="59152BB5" w14:textId="77777777" w:rsidR="00F912D4" w:rsidRDefault="00D613E2">
      <w:pPr>
        <w:spacing w:line="268" w:lineRule="exact"/>
        <w:ind w:left="140"/>
        <w:rPr>
          <w:b/>
          <w:sz w:val="24"/>
        </w:rPr>
      </w:pPr>
      <w:r>
        <w:rPr>
          <w:b/>
          <w:sz w:val="24"/>
        </w:rPr>
        <w:t>Building Envelop Measures</w:t>
      </w:r>
    </w:p>
    <w:p w14:paraId="3103F9BC" w14:textId="77777777" w:rsidR="003C1E8B" w:rsidRPr="009C1791" w:rsidRDefault="00D613E2">
      <w:pPr>
        <w:pStyle w:val="ListParagraph"/>
        <w:numPr>
          <w:ilvl w:val="0"/>
          <w:numId w:val="1"/>
        </w:numPr>
        <w:tabs>
          <w:tab w:val="left" w:pos="859"/>
          <w:tab w:val="left" w:pos="860"/>
        </w:tabs>
        <w:ind w:right="195"/>
        <w:rPr>
          <w:color w:val="265EAC"/>
          <w:sz w:val="24"/>
        </w:rPr>
      </w:pPr>
      <w:r>
        <w:rPr>
          <w:sz w:val="24"/>
        </w:rPr>
        <w:t>The formula for calculating the emissions-reduction effects of weatherization employs area of insulation installed as a key variable. How does it relate to the square footage of the building served, such that the formula in some way accounts for the varying type and size of buildings? Put another way, there’s a question about whether average residential fuel mix and heat load are sufficient for the purposes of the</w:t>
      </w:r>
      <w:r>
        <w:rPr>
          <w:spacing w:val="-3"/>
          <w:sz w:val="24"/>
        </w:rPr>
        <w:t xml:space="preserve"> </w:t>
      </w:r>
      <w:r>
        <w:rPr>
          <w:sz w:val="24"/>
        </w:rPr>
        <w:t>CHS.</w:t>
      </w:r>
    </w:p>
    <w:p w14:paraId="166C4F6D" w14:textId="77777777" w:rsidR="009C1791" w:rsidRPr="003C1E8B" w:rsidRDefault="009C1791" w:rsidP="009C1791">
      <w:pPr>
        <w:pStyle w:val="ListParagraph"/>
        <w:tabs>
          <w:tab w:val="left" w:pos="859"/>
          <w:tab w:val="left" w:pos="860"/>
        </w:tabs>
        <w:ind w:right="195" w:firstLine="0"/>
        <w:rPr>
          <w:color w:val="265EAC"/>
          <w:sz w:val="24"/>
        </w:rPr>
      </w:pPr>
    </w:p>
    <w:p w14:paraId="040A6199" w14:textId="40BD43CB" w:rsidR="006C2155" w:rsidRDefault="003158F4" w:rsidP="003C1E8B">
      <w:pPr>
        <w:pStyle w:val="ListParagraph"/>
        <w:tabs>
          <w:tab w:val="left" w:pos="859"/>
          <w:tab w:val="left" w:pos="860"/>
        </w:tabs>
        <w:ind w:right="195" w:firstLine="0"/>
        <w:rPr>
          <w:color w:val="265EAC"/>
          <w:sz w:val="24"/>
        </w:rPr>
      </w:pPr>
      <w:r w:rsidRPr="003158F4">
        <w:rPr>
          <w:color w:val="265EAC"/>
          <w:sz w:val="24"/>
        </w:rPr>
        <w:t xml:space="preserve">In its current form, </w:t>
      </w:r>
      <w:r>
        <w:rPr>
          <w:color w:val="265EAC"/>
          <w:sz w:val="24"/>
        </w:rPr>
        <w:t xml:space="preserve">the </w:t>
      </w:r>
      <w:r w:rsidR="00A57B0C">
        <w:rPr>
          <w:color w:val="265EAC"/>
          <w:sz w:val="24"/>
        </w:rPr>
        <w:t xml:space="preserve">residential </w:t>
      </w:r>
      <w:r>
        <w:rPr>
          <w:color w:val="265EAC"/>
          <w:sz w:val="24"/>
        </w:rPr>
        <w:t xml:space="preserve">building shell insulation </w:t>
      </w:r>
      <w:r w:rsidRPr="003158F4">
        <w:rPr>
          <w:color w:val="265EAC"/>
          <w:sz w:val="24"/>
        </w:rPr>
        <w:t>measure is agnostic towards the type</w:t>
      </w:r>
      <w:r w:rsidR="00583379">
        <w:rPr>
          <w:color w:val="265EAC"/>
          <w:sz w:val="24"/>
        </w:rPr>
        <w:t xml:space="preserve">, </w:t>
      </w:r>
      <w:r w:rsidRPr="003158F4">
        <w:rPr>
          <w:color w:val="265EAC"/>
          <w:sz w:val="24"/>
        </w:rPr>
        <w:t xml:space="preserve">size </w:t>
      </w:r>
      <w:r w:rsidR="00583379">
        <w:rPr>
          <w:color w:val="265EAC"/>
          <w:sz w:val="24"/>
        </w:rPr>
        <w:t xml:space="preserve">or heating load </w:t>
      </w:r>
      <w:r w:rsidRPr="003158F4">
        <w:rPr>
          <w:color w:val="265EAC"/>
          <w:sz w:val="24"/>
        </w:rPr>
        <w:t>of buildings</w:t>
      </w:r>
      <w:r>
        <w:rPr>
          <w:color w:val="265EAC"/>
          <w:sz w:val="24"/>
        </w:rPr>
        <w:t xml:space="preserve">; </w:t>
      </w:r>
      <w:r w:rsidR="00583379">
        <w:rPr>
          <w:color w:val="265EAC"/>
          <w:sz w:val="24"/>
        </w:rPr>
        <w:t xml:space="preserve">the algorithm calculates savings based on the </w:t>
      </w:r>
      <w:r w:rsidR="00892045">
        <w:rPr>
          <w:color w:val="265EAC"/>
          <w:sz w:val="24"/>
        </w:rPr>
        <w:t xml:space="preserve">change in conductive heat loss over the area in which insulation is installed. The conductive heat loss </w:t>
      </w:r>
      <w:r w:rsidR="00AD2D33">
        <w:rPr>
          <w:color w:val="265EAC"/>
          <w:sz w:val="24"/>
        </w:rPr>
        <w:t xml:space="preserve">in Btu/h </w:t>
      </w:r>
      <w:r w:rsidR="00892045">
        <w:rPr>
          <w:color w:val="265EAC"/>
          <w:sz w:val="24"/>
        </w:rPr>
        <w:t xml:space="preserve">is directly proportional to </w:t>
      </w:r>
      <w:r w:rsidR="004234C4">
        <w:rPr>
          <w:color w:val="265EAC"/>
          <w:sz w:val="24"/>
        </w:rPr>
        <w:t xml:space="preserve">insulation surface </w:t>
      </w:r>
      <w:r w:rsidR="00892045">
        <w:rPr>
          <w:color w:val="265EAC"/>
          <w:sz w:val="24"/>
        </w:rPr>
        <w:t>area</w:t>
      </w:r>
      <w:r w:rsidR="00AD2D33">
        <w:rPr>
          <w:color w:val="265EAC"/>
          <w:sz w:val="24"/>
        </w:rPr>
        <w:t xml:space="preserve"> and temperature differential</w:t>
      </w:r>
      <w:r w:rsidR="00892045">
        <w:rPr>
          <w:color w:val="265EAC"/>
          <w:sz w:val="24"/>
        </w:rPr>
        <w:t xml:space="preserve"> and inversely proportional to thermal resistance</w:t>
      </w:r>
      <w:r w:rsidR="00AD2D33">
        <w:rPr>
          <w:color w:val="265EAC"/>
          <w:sz w:val="24"/>
        </w:rPr>
        <w:t xml:space="preserve"> (R-value)</w:t>
      </w:r>
      <w:r w:rsidR="00892045">
        <w:rPr>
          <w:color w:val="265EAC"/>
          <w:sz w:val="24"/>
        </w:rPr>
        <w:t>.</w:t>
      </w:r>
      <w:r w:rsidR="00AD2D33">
        <w:rPr>
          <w:color w:val="265EAC"/>
          <w:sz w:val="24"/>
        </w:rPr>
        <w:t xml:space="preserve"> The </w:t>
      </w:r>
      <w:r w:rsidR="004234C4">
        <w:rPr>
          <w:color w:val="265EAC"/>
          <w:sz w:val="24"/>
        </w:rPr>
        <w:t xml:space="preserve">surface </w:t>
      </w:r>
      <w:r w:rsidR="00AD2D33">
        <w:rPr>
          <w:color w:val="265EAC"/>
          <w:sz w:val="24"/>
        </w:rPr>
        <w:t>area and</w:t>
      </w:r>
      <w:r w:rsidR="004234C4">
        <w:rPr>
          <w:color w:val="265EAC"/>
          <w:sz w:val="24"/>
        </w:rPr>
        <w:t xml:space="preserve"> R-values (pre and post) will vary by job.</w:t>
      </w:r>
    </w:p>
    <w:p w14:paraId="0A0B3440" w14:textId="77777777" w:rsidR="006C2155" w:rsidRDefault="006C2155" w:rsidP="003C1E8B">
      <w:pPr>
        <w:pStyle w:val="ListParagraph"/>
        <w:tabs>
          <w:tab w:val="left" w:pos="859"/>
          <w:tab w:val="left" w:pos="860"/>
        </w:tabs>
        <w:ind w:right="195" w:firstLine="0"/>
        <w:rPr>
          <w:color w:val="265EAC"/>
          <w:sz w:val="24"/>
        </w:rPr>
      </w:pPr>
    </w:p>
    <w:p w14:paraId="1C3A9ED1" w14:textId="3978357E" w:rsidR="00F912D4" w:rsidRDefault="00B904F7" w:rsidP="00583379">
      <w:pPr>
        <w:pStyle w:val="ListParagraph"/>
        <w:tabs>
          <w:tab w:val="left" w:pos="859"/>
          <w:tab w:val="left" w:pos="860"/>
        </w:tabs>
        <w:ind w:right="195" w:firstLine="0"/>
        <w:rPr>
          <w:color w:val="265EAC"/>
          <w:sz w:val="24"/>
        </w:rPr>
      </w:pPr>
      <w:r>
        <w:rPr>
          <w:color w:val="265EAC"/>
          <w:sz w:val="24"/>
        </w:rPr>
        <w:t>Regarding</w:t>
      </w:r>
      <w:r w:rsidR="00AD2D33">
        <w:rPr>
          <w:color w:val="265EAC"/>
          <w:sz w:val="24"/>
        </w:rPr>
        <w:t xml:space="preserve"> </w:t>
      </w:r>
      <w:r w:rsidR="00243170">
        <w:rPr>
          <w:color w:val="265EAC"/>
          <w:sz w:val="24"/>
        </w:rPr>
        <w:t>the heating fuel</w:t>
      </w:r>
      <w:r w:rsidR="00AD2D33">
        <w:rPr>
          <w:color w:val="265EAC"/>
          <w:sz w:val="24"/>
        </w:rPr>
        <w:t xml:space="preserve">, the measure characterization </w:t>
      </w:r>
      <w:r>
        <w:rPr>
          <w:color w:val="265EAC"/>
          <w:sz w:val="24"/>
        </w:rPr>
        <w:t xml:space="preserve">in its current form </w:t>
      </w:r>
      <w:r w:rsidR="00243170">
        <w:rPr>
          <w:color w:val="265EAC"/>
          <w:sz w:val="24"/>
        </w:rPr>
        <w:t xml:space="preserve">provides options for either assuming an average heating fuel mix or </w:t>
      </w:r>
      <w:r w:rsidR="00AD2D33">
        <w:rPr>
          <w:color w:val="265EAC"/>
          <w:sz w:val="24"/>
        </w:rPr>
        <w:t>collecting the h</w:t>
      </w:r>
      <w:r w:rsidR="00583379">
        <w:rPr>
          <w:color w:val="265EAC"/>
          <w:sz w:val="24"/>
        </w:rPr>
        <w:t xml:space="preserve">eating fuel as site-specific </w:t>
      </w:r>
      <w:r w:rsidR="00AD2D33">
        <w:rPr>
          <w:color w:val="265EAC"/>
          <w:sz w:val="24"/>
        </w:rPr>
        <w:t>input</w:t>
      </w:r>
      <w:r w:rsidR="00583379">
        <w:rPr>
          <w:color w:val="265EAC"/>
          <w:sz w:val="24"/>
        </w:rPr>
        <w:t>.</w:t>
      </w:r>
      <w:r w:rsidR="00243170">
        <w:rPr>
          <w:color w:val="265EAC"/>
          <w:sz w:val="24"/>
        </w:rPr>
        <w:t xml:space="preserve"> </w:t>
      </w:r>
      <w:r>
        <w:rPr>
          <w:color w:val="265EAC"/>
          <w:sz w:val="24"/>
        </w:rPr>
        <w:t xml:space="preserve">The latter approach provides more certainty in the savings results but </w:t>
      </w:r>
      <w:r w:rsidR="00203490">
        <w:rPr>
          <w:color w:val="265EAC"/>
          <w:sz w:val="24"/>
        </w:rPr>
        <w:t>increases administrative costs</w:t>
      </w:r>
      <w:r>
        <w:rPr>
          <w:color w:val="265EAC"/>
          <w:sz w:val="24"/>
        </w:rPr>
        <w:t xml:space="preserve">. If the TAG and PUC feel that more specificity is needed, we could modify the characterization to </w:t>
      </w:r>
      <w:r w:rsidR="00203490">
        <w:rPr>
          <w:color w:val="265EAC"/>
          <w:sz w:val="24"/>
        </w:rPr>
        <w:t xml:space="preserve">allow one approach or the other. </w:t>
      </w:r>
      <w:r w:rsidR="00583379">
        <w:rPr>
          <w:color w:val="265EAC"/>
          <w:sz w:val="24"/>
        </w:rPr>
        <w:t xml:space="preserve">We </w:t>
      </w:r>
      <w:r w:rsidR="00892045">
        <w:rPr>
          <w:color w:val="265EAC"/>
          <w:sz w:val="24"/>
        </w:rPr>
        <w:t>welcome additional feedback from the TAG on data collection requirements for this measure and all measures more broadly.</w:t>
      </w:r>
    </w:p>
    <w:p w14:paraId="112DCED4" w14:textId="77777777" w:rsidR="003D5399" w:rsidRDefault="003D5399" w:rsidP="00583379">
      <w:pPr>
        <w:pStyle w:val="ListParagraph"/>
        <w:tabs>
          <w:tab w:val="left" w:pos="859"/>
          <w:tab w:val="left" w:pos="860"/>
        </w:tabs>
        <w:ind w:right="195" w:firstLine="0"/>
        <w:rPr>
          <w:color w:val="265EAC"/>
          <w:sz w:val="24"/>
        </w:rPr>
      </w:pPr>
    </w:p>
    <w:p w14:paraId="16155313" w14:textId="5EBE9754" w:rsidR="003D5399" w:rsidRPr="003D5399" w:rsidRDefault="003D5399" w:rsidP="00583379">
      <w:pPr>
        <w:pStyle w:val="ListParagraph"/>
        <w:tabs>
          <w:tab w:val="left" w:pos="859"/>
          <w:tab w:val="left" w:pos="860"/>
        </w:tabs>
        <w:ind w:right="195" w:firstLine="0"/>
        <w:rPr>
          <w:color w:val="FF0000"/>
          <w:sz w:val="24"/>
        </w:rPr>
      </w:pPr>
      <w:r>
        <w:rPr>
          <w:color w:val="FF0000"/>
          <w:sz w:val="24"/>
        </w:rPr>
        <w:t>TAG: With respect to measuring insulation savings, fine. As for fuel mix, using the average fuel mix appears to make sense for most installations, but we think that obligated parties should have the opportunity to rely on site-specific data (documented and verifiable) if they so choose.</w:t>
      </w:r>
    </w:p>
    <w:p w14:paraId="0208E7CC" w14:textId="77777777" w:rsidR="00892045" w:rsidRPr="003158F4" w:rsidRDefault="00892045" w:rsidP="00583379">
      <w:pPr>
        <w:pStyle w:val="ListParagraph"/>
        <w:tabs>
          <w:tab w:val="left" w:pos="859"/>
          <w:tab w:val="left" w:pos="860"/>
        </w:tabs>
        <w:ind w:right="195" w:firstLine="0"/>
        <w:rPr>
          <w:color w:val="265EAC"/>
          <w:sz w:val="24"/>
        </w:rPr>
      </w:pPr>
    </w:p>
    <w:p w14:paraId="45C513C9" w14:textId="77777777" w:rsidR="009C1791" w:rsidRPr="009C1791" w:rsidRDefault="00D613E2">
      <w:pPr>
        <w:pStyle w:val="ListParagraph"/>
        <w:numPr>
          <w:ilvl w:val="0"/>
          <w:numId w:val="1"/>
        </w:numPr>
        <w:tabs>
          <w:tab w:val="left" w:pos="859"/>
          <w:tab w:val="left" w:pos="860"/>
        </w:tabs>
        <w:spacing w:before="3"/>
        <w:ind w:right="268"/>
        <w:rPr>
          <w:color w:val="265EAC"/>
          <w:sz w:val="24"/>
        </w:rPr>
      </w:pPr>
      <w:r>
        <w:rPr>
          <w:sz w:val="24"/>
        </w:rPr>
        <w:t>Where partial building weatherization occurs (e.g., just one unit in a three-unit building), how will the savings be calculated and what data will be used to measure the</w:t>
      </w:r>
      <w:r>
        <w:rPr>
          <w:spacing w:val="-11"/>
          <w:sz w:val="24"/>
        </w:rPr>
        <w:t xml:space="preserve"> </w:t>
      </w:r>
      <w:r>
        <w:rPr>
          <w:sz w:val="24"/>
        </w:rPr>
        <w:t>savings?</w:t>
      </w:r>
      <w:r w:rsidR="003158F4">
        <w:rPr>
          <w:sz w:val="24"/>
        </w:rPr>
        <w:t xml:space="preserve"> </w:t>
      </w:r>
      <w:r w:rsidR="00583379">
        <w:rPr>
          <w:sz w:val="24"/>
        </w:rPr>
        <w:t xml:space="preserve"> </w:t>
      </w:r>
    </w:p>
    <w:p w14:paraId="4DD5B2AC" w14:textId="77777777" w:rsidR="009C1791" w:rsidRDefault="009C1791" w:rsidP="009C1791">
      <w:pPr>
        <w:pStyle w:val="ListParagraph"/>
        <w:tabs>
          <w:tab w:val="left" w:pos="859"/>
          <w:tab w:val="left" w:pos="860"/>
        </w:tabs>
        <w:spacing w:before="3"/>
        <w:ind w:right="268" w:firstLine="0"/>
        <w:rPr>
          <w:sz w:val="24"/>
        </w:rPr>
      </w:pPr>
    </w:p>
    <w:p w14:paraId="0FEB6629" w14:textId="3494DC57" w:rsidR="00F912D4" w:rsidRDefault="00CF6FCB" w:rsidP="009C1791">
      <w:pPr>
        <w:pStyle w:val="ListParagraph"/>
        <w:tabs>
          <w:tab w:val="left" w:pos="859"/>
          <w:tab w:val="left" w:pos="860"/>
        </w:tabs>
        <w:spacing w:before="3"/>
        <w:ind w:right="268" w:firstLine="0"/>
        <w:rPr>
          <w:color w:val="265EAC"/>
          <w:sz w:val="24"/>
        </w:rPr>
      </w:pPr>
      <w:r>
        <w:rPr>
          <w:color w:val="265EAC"/>
          <w:sz w:val="24"/>
        </w:rPr>
        <w:t>The current measure design facilitates this type of scenario. Here, t</w:t>
      </w:r>
      <w:r w:rsidR="003C1E8B" w:rsidRPr="00155AC0">
        <w:rPr>
          <w:color w:val="265EAC"/>
          <w:sz w:val="24"/>
        </w:rPr>
        <w:t xml:space="preserve">he implementer would capture the </w:t>
      </w:r>
      <w:r w:rsidR="004234C4">
        <w:rPr>
          <w:color w:val="265EAC"/>
          <w:sz w:val="24"/>
        </w:rPr>
        <w:t xml:space="preserve">surface </w:t>
      </w:r>
      <w:r w:rsidR="003C1E8B" w:rsidRPr="00155AC0">
        <w:rPr>
          <w:color w:val="265EAC"/>
          <w:sz w:val="24"/>
        </w:rPr>
        <w:t>area of insulation installed in square feet, its location (</w:t>
      </w:r>
      <w:r w:rsidR="004234C4">
        <w:rPr>
          <w:color w:val="265EAC"/>
          <w:sz w:val="24"/>
        </w:rPr>
        <w:t xml:space="preserve">attic/ceiling, </w:t>
      </w:r>
      <w:r w:rsidR="003C1E8B" w:rsidRPr="00155AC0">
        <w:rPr>
          <w:color w:val="265EAC"/>
          <w:sz w:val="24"/>
        </w:rPr>
        <w:t xml:space="preserve">exterior wall, </w:t>
      </w:r>
      <w:r w:rsidR="00246DB6" w:rsidRPr="00155AC0">
        <w:rPr>
          <w:color w:val="265EAC"/>
          <w:sz w:val="24"/>
        </w:rPr>
        <w:t xml:space="preserve">or basement) </w:t>
      </w:r>
      <w:r w:rsidR="003C1E8B" w:rsidRPr="00155AC0">
        <w:rPr>
          <w:color w:val="265EAC"/>
          <w:sz w:val="24"/>
        </w:rPr>
        <w:t xml:space="preserve">and the pre- and post-R-values of the insulation. The heating system fuel and system type could optionally be captured, or </w:t>
      </w:r>
      <w:r w:rsidR="00120B24">
        <w:rPr>
          <w:color w:val="265EAC"/>
          <w:sz w:val="24"/>
        </w:rPr>
        <w:t xml:space="preserve">blended </w:t>
      </w:r>
      <w:r w:rsidR="003C1E8B" w:rsidRPr="00155AC0">
        <w:rPr>
          <w:color w:val="265EAC"/>
          <w:sz w:val="24"/>
        </w:rPr>
        <w:t xml:space="preserve">values could be </w:t>
      </w:r>
      <w:r w:rsidR="00120B24">
        <w:rPr>
          <w:color w:val="265EAC"/>
          <w:sz w:val="24"/>
        </w:rPr>
        <w:t>assumed</w:t>
      </w:r>
      <w:r w:rsidR="003C1E8B" w:rsidRPr="00155AC0">
        <w:rPr>
          <w:color w:val="265EAC"/>
          <w:sz w:val="24"/>
        </w:rPr>
        <w:t>.</w:t>
      </w:r>
    </w:p>
    <w:p w14:paraId="7CF7E9A4" w14:textId="77777777" w:rsidR="003D5399" w:rsidRDefault="003D5399" w:rsidP="009C1791">
      <w:pPr>
        <w:pStyle w:val="ListParagraph"/>
        <w:tabs>
          <w:tab w:val="left" w:pos="859"/>
          <w:tab w:val="left" w:pos="860"/>
        </w:tabs>
        <w:spacing w:before="3"/>
        <w:ind w:right="268" w:firstLine="0"/>
        <w:rPr>
          <w:color w:val="265EAC"/>
          <w:sz w:val="24"/>
        </w:rPr>
      </w:pPr>
    </w:p>
    <w:p w14:paraId="060F3C46" w14:textId="781821D7" w:rsidR="003D5399" w:rsidRPr="003D5399" w:rsidRDefault="003D5399" w:rsidP="009C1791">
      <w:pPr>
        <w:pStyle w:val="ListParagraph"/>
        <w:tabs>
          <w:tab w:val="left" w:pos="859"/>
          <w:tab w:val="left" w:pos="860"/>
        </w:tabs>
        <w:spacing w:before="3"/>
        <w:ind w:right="268" w:firstLine="0"/>
        <w:rPr>
          <w:color w:val="FF0000"/>
          <w:sz w:val="24"/>
        </w:rPr>
      </w:pPr>
      <w:r>
        <w:rPr>
          <w:color w:val="FF0000"/>
          <w:sz w:val="24"/>
        </w:rPr>
        <w:t>TAG: Partial building weatherization appears to be captured by this approach.</w:t>
      </w:r>
    </w:p>
    <w:p w14:paraId="621661F6" w14:textId="3D3F85FA" w:rsidR="00246DB6" w:rsidRPr="00120B24" w:rsidRDefault="00246DB6" w:rsidP="00120B24">
      <w:pPr>
        <w:tabs>
          <w:tab w:val="left" w:pos="859"/>
          <w:tab w:val="left" w:pos="860"/>
        </w:tabs>
        <w:spacing w:before="3"/>
        <w:ind w:right="268"/>
        <w:rPr>
          <w:sz w:val="24"/>
        </w:rPr>
      </w:pPr>
    </w:p>
    <w:p w14:paraId="634AC15D" w14:textId="77777777" w:rsidR="009C1791" w:rsidRPr="009C1791" w:rsidRDefault="00D613E2">
      <w:pPr>
        <w:pStyle w:val="ListParagraph"/>
        <w:numPr>
          <w:ilvl w:val="0"/>
          <w:numId w:val="1"/>
        </w:numPr>
        <w:tabs>
          <w:tab w:val="left" w:pos="859"/>
          <w:tab w:val="left" w:pos="860"/>
        </w:tabs>
        <w:spacing w:before="1"/>
        <w:ind w:right="143"/>
        <w:rPr>
          <w:color w:val="265EAC"/>
          <w:sz w:val="24"/>
        </w:rPr>
      </w:pPr>
      <w:r>
        <w:rPr>
          <w:sz w:val="24"/>
        </w:rPr>
        <w:t xml:space="preserve">Weatherization improvements target not only insufficient insulation, but also air infiltration. It is not clear that air infiltration is addressed in this measure characterization. What assumptions are being made in this respect and how are potential savings from improved </w:t>
      </w:r>
      <w:proofErr w:type="gramStart"/>
      <w:r>
        <w:rPr>
          <w:sz w:val="24"/>
        </w:rPr>
        <w:t>air-tightness</w:t>
      </w:r>
      <w:proofErr w:type="gramEnd"/>
      <w:r>
        <w:rPr>
          <w:sz w:val="24"/>
        </w:rPr>
        <w:t xml:space="preserve"> being</w:t>
      </w:r>
      <w:r>
        <w:rPr>
          <w:spacing w:val="-1"/>
          <w:sz w:val="24"/>
        </w:rPr>
        <w:t xml:space="preserve"> </w:t>
      </w:r>
      <w:r>
        <w:rPr>
          <w:sz w:val="24"/>
        </w:rPr>
        <w:t>captured?</w:t>
      </w:r>
      <w:r w:rsidR="005926B3">
        <w:rPr>
          <w:sz w:val="24"/>
        </w:rPr>
        <w:t xml:space="preserve"> </w:t>
      </w:r>
    </w:p>
    <w:p w14:paraId="18567B14" w14:textId="77777777" w:rsidR="009C1791" w:rsidRPr="009C1791" w:rsidRDefault="009C1791" w:rsidP="009C1791">
      <w:pPr>
        <w:pStyle w:val="ListParagraph"/>
        <w:tabs>
          <w:tab w:val="left" w:pos="859"/>
          <w:tab w:val="left" w:pos="860"/>
        </w:tabs>
        <w:spacing w:before="1"/>
        <w:ind w:right="143" w:firstLine="0"/>
        <w:rPr>
          <w:color w:val="265EAC"/>
          <w:sz w:val="24"/>
        </w:rPr>
      </w:pPr>
    </w:p>
    <w:p w14:paraId="54BAE924" w14:textId="45E90AF7" w:rsidR="00F912D4" w:rsidRDefault="005926B3" w:rsidP="009C1791">
      <w:pPr>
        <w:pStyle w:val="ListParagraph"/>
        <w:tabs>
          <w:tab w:val="left" w:pos="859"/>
          <w:tab w:val="left" w:pos="860"/>
        </w:tabs>
        <w:spacing w:before="1"/>
        <w:ind w:right="143" w:firstLine="0"/>
        <w:rPr>
          <w:color w:val="265EAC"/>
          <w:sz w:val="24"/>
        </w:rPr>
      </w:pPr>
      <w:r w:rsidRPr="007344F8">
        <w:rPr>
          <w:color w:val="265EAC"/>
          <w:sz w:val="24"/>
        </w:rPr>
        <w:t xml:space="preserve">This measure includes building shell insulation only. </w:t>
      </w:r>
      <w:r w:rsidR="007344F8" w:rsidRPr="007344F8">
        <w:rPr>
          <w:color w:val="265EAC"/>
          <w:sz w:val="24"/>
        </w:rPr>
        <w:t>Air sealing is a separate measure that is currently under development.</w:t>
      </w:r>
    </w:p>
    <w:p w14:paraId="69B21A0D" w14:textId="77777777" w:rsidR="003D5399" w:rsidRDefault="003D5399" w:rsidP="009C1791">
      <w:pPr>
        <w:pStyle w:val="ListParagraph"/>
        <w:tabs>
          <w:tab w:val="left" w:pos="859"/>
          <w:tab w:val="left" w:pos="860"/>
        </w:tabs>
        <w:spacing w:before="1"/>
        <w:ind w:right="143" w:firstLine="0"/>
        <w:rPr>
          <w:color w:val="265EAC"/>
          <w:sz w:val="24"/>
        </w:rPr>
      </w:pPr>
    </w:p>
    <w:p w14:paraId="06AF93FD" w14:textId="0149FC05" w:rsidR="003D5399" w:rsidRPr="003D5399" w:rsidRDefault="003D5399" w:rsidP="009C1791">
      <w:pPr>
        <w:pStyle w:val="ListParagraph"/>
        <w:tabs>
          <w:tab w:val="left" w:pos="859"/>
          <w:tab w:val="left" w:pos="860"/>
        </w:tabs>
        <w:spacing w:before="1"/>
        <w:ind w:right="143" w:firstLine="0"/>
        <w:rPr>
          <w:color w:val="FF0000"/>
          <w:sz w:val="24"/>
        </w:rPr>
      </w:pPr>
      <w:r>
        <w:rPr>
          <w:color w:val="FF0000"/>
          <w:sz w:val="24"/>
        </w:rPr>
        <w:t>TAG: OK.</w:t>
      </w:r>
    </w:p>
    <w:p w14:paraId="0247C13E" w14:textId="77777777" w:rsidR="009C1791" w:rsidRPr="009C1791" w:rsidRDefault="009C1791" w:rsidP="009C1791">
      <w:pPr>
        <w:tabs>
          <w:tab w:val="left" w:pos="859"/>
          <w:tab w:val="left" w:pos="860"/>
        </w:tabs>
        <w:spacing w:before="1"/>
        <w:ind w:right="143"/>
        <w:rPr>
          <w:color w:val="265EAC"/>
          <w:sz w:val="24"/>
        </w:rPr>
      </w:pPr>
    </w:p>
    <w:p w14:paraId="7D5AAF10" w14:textId="7B2CB41C" w:rsidR="009C1791" w:rsidRPr="009C1791" w:rsidRDefault="00D613E2" w:rsidP="009C1791">
      <w:pPr>
        <w:pStyle w:val="ListParagraph"/>
        <w:numPr>
          <w:ilvl w:val="0"/>
          <w:numId w:val="1"/>
        </w:numPr>
        <w:tabs>
          <w:tab w:val="left" w:pos="859"/>
          <w:tab w:val="left" w:pos="860"/>
        </w:tabs>
        <w:ind w:right="271"/>
        <w:rPr>
          <w:sz w:val="24"/>
        </w:rPr>
      </w:pPr>
      <w:r>
        <w:rPr>
          <w:sz w:val="24"/>
        </w:rPr>
        <w:t>It appears that the data on heating l</w:t>
      </w:r>
      <w:r w:rsidRPr="009C1791">
        <w:rPr>
          <w:sz w:val="24"/>
        </w:rPr>
        <w:t>oads cited by OP are not the most up-to-date data used by the Vermont Department of Public Service and other state agencies. These data should match what the state</w:t>
      </w:r>
      <w:r w:rsidRPr="009C1791">
        <w:rPr>
          <w:spacing w:val="-1"/>
          <w:sz w:val="24"/>
        </w:rPr>
        <w:t xml:space="preserve"> </w:t>
      </w:r>
      <w:r w:rsidRPr="009C1791">
        <w:rPr>
          <w:sz w:val="24"/>
        </w:rPr>
        <w:t>uses.</w:t>
      </w:r>
      <w:r w:rsidR="007344F8" w:rsidRPr="009C1791">
        <w:rPr>
          <w:sz w:val="24"/>
        </w:rPr>
        <w:t xml:space="preserve"> </w:t>
      </w:r>
    </w:p>
    <w:p w14:paraId="29D3B8C1" w14:textId="77777777" w:rsidR="009C1791" w:rsidRDefault="009C1791" w:rsidP="009C1791">
      <w:pPr>
        <w:pStyle w:val="ListParagraph"/>
        <w:tabs>
          <w:tab w:val="left" w:pos="859"/>
          <w:tab w:val="left" w:pos="860"/>
        </w:tabs>
        <w:ind w:right="271" w:firstLine="0"/>
        <w:rPr>
          <w:sz w:val="24"/>
        </w:rPr>
      </w:pPr>
    </w:p>
    <w:p w14:paraId="218EF767" w14:textId="1AFAFD4A" w:rsidR="00F912D4" w:rsidRDefault="00632B2B" w:rsidP="009C1791">
      <w:pPr>
        <w:pStyle w:val="ListParagraph"/>
        <w:tabs>
          <w:tab w:val="left" w:pos="859"/>
          <w:tab w:val="left" w:pos="860"/>
        </w:tabs>
        <w:ind w:right="271" w:firstLine="0"/>
        <w:rPr>
          <w:color w:val="265EAC"/>
          <w:sz w:val="24"/>
        </w:rPr>
      </w:pPr>
      <w:r>
        <w:rPr>
          <w:color w:val="265EAC"/>
          <w:sz w:val="24"/>
        </w:rPr>
        <w:t>Please clarify the specific parameters you are referring to</w:t>
      </w:r>
      <w:r w:rsidR="00356EE3">
        <w:rPr>
          <w:color w:val="265EAC"/>
          <w:sz w:val="24"/>
        </w:rPr>
        <w:t>.</w:t>
      </w:r>
      <w:r w:rsidR="007344F8">
        <w:rPr>
          <w:color w:val="265EAC"/>
          <w:sz w:val="24"/>
        </w:rPr>
        <w:t xml:space="preserve"> </w:t>
      </w:r>
      <w:r>
        <w:rPr>
          <w:color w:val="265EAC"/>
          <w:sz w:val="24"/>
        </w:rPr>
        <w:t>The home’s heating load is not an input for this measure.</w:t>
      </w:r>
    </w:p>
    <w:p w14:paraId="13E4F549" w14:textId="77777777" w:rsidR="003D5399" w:rsidRDefault="003D5399" w:rsidP="009C1791">
      <w:pPr>
        <w:pStyle w:val="ListParagraph"/>
        <w:tabs>
          <w:tab w:val="left" w:pos="859"/>
          <w:tab w:val="left" w:pos="860"/>
        </w:tabs>
        <w:ind w:right="271" w:firstLine="0"/>
        <w:rPr>
          <w:color w:val="265EAC"/>
          <w:sz w:val="24"/>
        </w:rPr>
      </w:pPr>
    </w:p>
    <w:p w14:paraId="6817E6F0" w14:textId="70271103" w:rsidR="003D5399" w:rsidRPr="003D5399" w:rsidRDefault="003D5399" w:rsidP="009C1791">
      <w:pPr>
        <w:pStyle w:val="ListParagraph"/>
        <w:tabs>
          <w:tab w:val="left" w:pos="859"/>
          <w:tab w:val="left" w:pos="860"/>
        </w:tabs>
        <w:ind w:right="271" w:firstLine="0"/>
        <w:rPr>
          <w:color w:val="FF0000"/>
          <w:sz w:val="24"/>
        </w:rPr>
      </w:pPr>
      <w:r>
        <w:rPr>
          <w:color w:val="FF0000"/>
          <w:sz w:val="24"/>
        </w:rPr>
        <w:t>TAG: We will discuss this with the Department of Public Service and provide further clarification.</w:t>
      </w:r>
    </w:p>
    <w:p w14:paraId="6572ABAF" w14:textId="77777777" w:rsidR="00120B24" w:rsidRDefault="00120B24" w:rsidP="00120B24">
      <w:pPr>
        <w:pStyle w:val="ListParagraph"/>
        <w:tabs>
          <w:tab w:val="left" w:pos="859"/>
          <w:tab w:val="left" w:pos="860"/>
        </w:tabs>
        <w:ind w:right="271" w:firstLine="0"/>
        <w:rPr>
          <w:sz w:val="24"/>
        </w:rPr>
      </w:pPr>
    </w:p>
    <w:p w14:paraId="19E9143D" w14:textId="77777777" w:rsidR="009C1791" w:rsidRPr="009C1791" w:rsidRDefault="00D613E2">
      <w:pPr>
        <w:pStyle w:val="ListParagraph"/>
        <w:numPr>
          <w:ilvl w:val="0"/>
          <w:numId w:val="1"/>
        </w:numPr>
        <w:tabs>
          <w:tab w:val="left" w:pos="859"/>
          <w:tab w:val="left" w:pos="860"/>
        </w:tabs>
        <w:ind w:right="515"/>
        <w:rPr>
          <w:color w:val="265EAC"/>
          <w:sz w:val="24"/>
        </w:rPr>
      </w:pPr>
      <w:r>
        <w:rPr>
          <w:sz w:val="24"/>
        </w:rPr>
        <w:t>Would it be possible to cite actual source material for many of the assumptions and inputs? For instance, instead of citing Vermont’s efficiency and Tier III technical reference manuals, please cite the DOE and other sources on which those TRMs rely (“Remove the middleman” where</w:t>
      </w:r>
      <w:r>
        <w:rPr>
          <w:spacing w:val="-1"/>
          <w:sz w:val="24"/>
        </w:rPr>
        <w:t xml:space="preserve"> </w:t>
      </w:r>
      <w:r>
        <w:rPr>
          <w:sz w:val="24"/>
        </w:rPr>
        <w:t>possible).</w:t>
      </w:r>
      <w:r w:rsidR="00111E84">
        <w:rPr>
          <w:sz w:val="24"/>
        </w:rPr>
        <w:t xml:space="preserve"> </w:t>
      </w:r>
    </w:p>
    <w:p w14:paraId="0A105361" w14:textId="77777777" w:rsidR="009C1791" w:rsidRPr="009C1791" w:rsidRDefault="009C1791" w:rsidP="009C1791">
      <w:pPr>
        <w:pStyle w:val="ListParagraph"/>
        <w:tabs>
          <w:tab w:val="left" w:pos="859"/>
          <w:tab w:val="left" w:pos="860"/>
        </w:tabs>
        <w:ind w:right="515" w:firstLine="0"/>
        <w:rPr>
          <w:color w:val="265EAC"/>
          <w:sz w:val="24"/>
        </w:rPr>
      </w:pPr>
    </w:p>
    <w:p w14:paraId="04B5DE6C" w14:textId="1DBA2B00" w:rsidR="00F912D4" w:rsidRDefault="00111E84" w:rsidP="009C1791">
      <w:pPr>
        <w:pStyle w:val="ListParagraph"/>
        <w:tabs>
          <w:tab w:val="left" w:pos="859"/>
          <w:tab w:val="left" w:pos="860"/>
        </w:tabs>
        <w:ind w:right="515" w:firstLine="0"/>
        <w:rPr>
          <w:color w:val="265EAC"/>
          <w:sz w:val="24"/>
        </w:rPr>
      </w:pPr>
      <w:r w:rsidRPr="00111E84">
        <w:rPr>
          <w:color w:val="265EAC"/>
          <w:sz w:val="24"/>
        </w:rPr>
        <w:t xml:space="preserve">We considered this issue and chose to deliberately cite the Vermont TRMs </w:t>
      </w:r>
      <w:proofErr w:type="gramStart"/>
      <w:r w:rsidRPr="00111E84">
        <w:rPr>
          <w:color w:val="265EAC"/>
          <w:sz w:val="24"/>
        </w:rPr>
        <w:t>where</w:t>
      </w:r>
      <w:proofErr w:type="gramEnd"/>
      <w:r w:rsidRPr="00111E84">
        <w:rPr>
          <w:color w:val="265EAC"/>
          <w:sz w:val="24"/>
        </w:rPr>
        <w:t xml:space="preserve"> used to clearly indicate what parameters were adopted from these existing sources. Elsewhere, our aim was to reference the actual source material instead of the secondary source. </w:t>
      </w:r>
      <w:r w:rsidR="00E44C1D">
        <w:rPr>
          <w:color w:val="265EAC"/>
          <w:sz w:val="24"/>
        </w:rPr>
        <w:t>Based on the feedback we received during the 7/11/2024 TAG presentation, we will include both secondary and primary sources in our citations</w:t>
      </w:r>
      <w:r w:rsidR="00672D0D">
        <w:rPr>
          <w:color w:val="265EAC"/>
          <w:sz w:val="24"/>
        </w:rPr>
        <w:t xml:space="preserve"> for now</w:t>
      </w:r>
      <w:r w:rsidR="00E44C1D">
        <w:rPr>
          <w:color w:val="265EAC"/>
          <w:sz w:val="24"/>
        </w:rPr>
        <w:t xml:space="preserve">. </w:t>
      </w:r>
    </w:p>
    <w:p w14:paraId="1CA0F8C3" w14:textId="77777777" w:rsidR="00DC01EA" w:rsidRDefault="00DC01EA" w:rsidP="009C1791">
      <w:pPr>
        <w:pStyle w:val="ListParagraph"/>
        <w:tabs>
          <w:tab w:val="left" w:pos="859"/>
          <w:tab w:val="left" w:pos="860"/>
        </w:tabs>
        <w:ind w:right="515" w:firstLine="0"/>
        <w:rPr>
          <w:color w:val="265EAC"/>
          <w:sz w:val="24"/>
        </w:rPr>
      </w:pPr>
    </w:p>
    <w:p w14:paraId="0F1243DB" w14:textId="30C129FF" w:rsidR="00DC01EA" w:rsidRPr="00DC01EA" w:rsidRDefault="00DC01EA" w:rsidP="009C1791">
      <w:pPr>
        <w:pStyle w:val="ListParagraph"/>
        <w:tabs>
          <w:tab w:val="left" w:pos="859"/>
          <w:tab w:val="left" w:pos="860"/>
        </w:tabs>
        <w:ind w:right="515" w:firstLine="0"/>
        <w:rPr>
          <w:color w:val="FF0000"/>
          <w:sz w:val="24"/>
        </w:rPr>
      </w:pPr>
      <w:r>
        <w:rPr>
          <w:color w:val="FF0000"/>
          <w:sz w:val="24"/>
        </w:rPr>
        <w:t>TAG: OK.</w:t>
      </w:r>
    </w:p>
    <w:p w14:paraId="5FDC5759" w14:textId="77777777" w:rsidR="009C1791" w:rsidRPr="00111E84" w:rsidRDefault="009C1791" w:rsidP="009C1791">
      <w:pPr>
        <w:pStyle w:val="ListParagraph"/>
        <w:tabs>
          <w:tab w:val="left" w:pos="859"/>
          <w:tab w:val="left" w:pos="860"/>
        </w:tabs>
        <w:ind w:right="515" w:firstLine="0"/>
        <w:rPr>
          <w:color w:val="265EAC"/>
          <w:sz w:val="24"/>
        </w:rPr>
      </w:pPr>
    </w:p>
    <w:p w14:paraId="34A0D2BA" w14:textId="77777777" w:rsidR="009C1791" w:rsidRPr="009C1791" w:rsidRDefault="00D613E2">
      <w:pPr>
        <w:pStyle w:val="ListParagraph"/>
        <w:numPr>
          <w:ilvl w:val="0"/>
          <w:numId w:val="1"/>
        </w:numPr>
        <w:tabs>
          <w:tab w:val="left" w:pos="859"/>
          <w:tab w:val="left" w:pos="860"/>
        </w:tabs>
        <w:spacing w:line="303" w:lineRule="exact"/>
        <w:rPr>
          <w:color w:val="265EAC"/>
          <w:sz w:val="24"/>
        </w:rPr>
      </w:pPr>
      <w:r>
        <w:rPr>
          <w:sz w:val="24"/>
        </w:rPr>
        <w:t>Will Opinion Dynamics make the documents it references available to</w:t>
      </w:r>
      <w:r>
        <w:rPr>
          <w:spacing w:val="-7"/>
          <w:sz w:val="24"/>
        </w:rPr>
        <w:t xml:space="preserve"> </w:t>
      </w:r>
      <w:r>
        <w:rPr>
          <w:sz w:val="24"/>
        </w:rPr>
        <w:t>us?</w:t>
      </w:r>
      <w:r w:rsidR="00111E84">
        <w:rPr>
          <w:sz w:val="24"/>
        </w:rPr>
        <w:t xml:space="preserve"> </w:t>
      </w:r>
    </w:p>
    <w:p w14:paraId="40C93803" w14:textId="77777777" w:rsidR="009C1791" w:rsidRPr="009C1791" w:rsidRDefault="009C1791" w:rsidP="009C1791">
      <w:pPr>
        <w:pStyle w:val="ListParagraph"/>
        <w:tabs>
          <w:tab w:val="left" w:pos="859"/>
          <w:tab w:val="left" w:pos="860"/>
        </w:tabs>
        <w:spacing w:line="303" w:lineRule="exact"/>
        <w:ind w:firstLine="0"/>
        <w:rPr>
          <w:color w:val="265EAC"/>
          <w:sz w:val="24"/>
        </w:rPr>
      </w:pPr>
    </w:p>
    <w:p w14:paraId="50228AF5" w14:textId="18C10AD4" w:rsidR="00F912D4" w:rsidRDefault="00E44C1D" w:rsidP="009C1791">
      <w:pPr>
        <w:pStyle w:val="ListParagraph"/>
        <w:tabs>
          <w:tab w:val="left" w:pos="859"/>
          <w:tab w:val="left" w:pos="860"/>
        </w:tabs>
        <w:spacing w:line="303" w:lineRule="exact"/>
        <w:ind w:firstLine="0"/>
        <w:rPr>
          <w:color w:val="265EAC"/>
          <w:sz w:val="24"/>
        </w:rPr>
      </w:pPr>
      <w:r>
        <w:rPr>
          <w:color w:val="265EAC"/>
          <w:sz w:val="24"/>
        </w:rPr>
        <w:t xml:space="preserve">Yes. The only exceptions might be where we have referenced parameters from the Vermont TRMs that are themselves references to documents we do not have access to. </w:t>
      </w:r>
    </w:p>
    <w:p w14:paraId="0AD79C8C" w14:textId="77777777" w:rsidR="00DC01EA" w:rsidRDefault="00DC01EA" w:rsidP="009C1791">
      <w:pPr>
        <w:pStyle w:val="ListParagraph"/>
        <w:tabs>
          <w:tab w:val="left" w:pos="859"/>
          <w:tab w:val="left" w:pos="860"/>
        </w:tabs>
        <w:spacing w:line="303" w:lineRule="exact"/>
        <w:ind w:firstLine="0"/>
        <w:rPr>
          <w:color w:val="265EAC"/>
          <w:sz w:val="24"/>
        </w:rPr>
      </w:pPr>
    </w:p>
    <w:p w14:paraId="0D37948E" w14:textId="5FBBE50B" w:rsidR="00DC01EA" w:rsidRPr="00DC01EA" w:rsidRDefault="00DC01EA" w:rsidP="009C1791">
      <w:pPr>
        <w:pStyle w:val="ListParagraph"/>
        <w:tabs>
          <w:tab w:val="left" w:pos="859"/>
          <w:tab w:val="left" w:pos="860"/>
        </w:tabs>
        <w:spacing w:line="303" w:lineRule="exact"/>
        <w:ind w:firstLine="0"/>
        <w:rPr>
          <w:color w:val="FF0000"/>
          <w:sz w:val="24"/>
        </w:rPr>
      </w:pPr>
      <w:r>
        <w:rPr>
          <w:color w:val="FF0000"/>
          <w:sz w:val="24"/>
        </w:rPr>
        <w:lastRenderedPageBreak/>
        <w:t>TAG: OK. Please provide the documents as soon as possible.</w:t>
      </w:r>
    </w:p>
    <w:p w14:paraId="1EAA58BA" w14:textId="77777777" w:rsidR="009C1791" w:rsidRPr="003037E3" w:rsidRDefault="009C1791" w:rsidP="009C1791">
      <w:pPr>
        <w:pStyle w:val="ListParagraph"/>
        <w:tabs>
          <w:tab w:val="left" w:pos="859"/>
          <w:tab w:val="left" w:pos="860"/>
        </w:tabs>
        <w:spacing w:line="303" w:lineRule="exact"/>
        <w:ind w:firstLine="0"/>
        <w:rPr>
          <w:color w:val="265EAC"/>
          <w:sz w:val="24"/>
        </w:rPr>
      </w:pPr>
    </w:p>
    <w:p w14:paraId="00772FF5" w14:textId="77777777" w:rsidR="009C1791" w:rsidRPr="009C1791" w:rsidRDefault="00D613E2">
      <w:pPr>
        <w:pStyle w:val="ListParagraph"/>
        <w:numPr>
          <w:ilvl w:val="0"/>
          <w:numId w:val="1"/>
        </w:numPr>
        <w:tabs>
          <w:tab w:val="left" w:pos="859"/>
          <w:tab w:val="left" w:pos="860"/>
        </w:tabs>
        <w:ind w:right="433"/>
        <w:rPr>
          <w:color w:val="265EAC"/>
          <w:sz w:val="24"/>
        </w:rPr>
      </w:pPr>
      <w:r>
        <w:rPr>
          <w:sz w:val="24"/>
        </w:rPr>
        <w:t>What sources of data will be used to perform weatherization calculations for CHS credits? Will these sources be linked in some way to the registration of actual projects? [This question may not be answerable at this</w:t>
      </w:r>
      <w:r>
        <w:rPr>
          <w:spacing w:val="-4"/>
          <w:sz w:val="24"/>
        </w:rPr>
        <w:t xml:space="preserve"> </w:t>
      </w:r>
      <w:r>
        <w:rPr>
          <w:sz w:val="24"/>
        </w:rPr>
        <w:t>time.]</w:t>
      </w:r>
      <w:r w:rsidR="003037E3">
        <w:rPr>
          <w:sz w:val="24"/>
        </w:rPr>
        <w:t xml:space="preserve"> </w:t>
      </w:r>
    </w:p>
    <w:p w14:paraId="3CD3B7D7" w14:textId="77777777" w:rsidR="009C1791" w:rsidRPr="009C1791" w:rsidRDefault="009C1791" w:rsidP="009C1791">
      <w:pPr>
        <w:pStyle w:val="ListParagraph"/>
        <w:tabs>
          <w:tab w:val="left" w:pos="859"/>
          <w:tab w:val="left" w:pos="860"/>
        </w:tabs>
        <w:ind w:right="433" w:firstLine="0"/>
        <w:rPr>
          <w:color w:val="265EAC"/>
          <w:sz w:val="24"/>
        </w:rPr>
      </w:pPr>
    </w:p>
    <w:p w14:paraId="5839BBE8" w14:textId="77777516" w:rsidR="00F912D4" w:rsidRDefault="003037E3" w:rsidP="009C1791">
      <w:pPr>
        <w:pStyle w:val="ListParagraph"/>
        <w:tabs>
          <w:tab w:val="left" w:pos="859"/>
          <w:tab w:val="left" w:pos="860"/>
        </w:tabs>
        <w:ind w:right="433" w:firstLine="0"/>
        <w:rPr>
          <w:color w:val="265EAC"/>
          <w:sz w:val="24"/>
        </w:rPr>
      </w:pPr>
      <w:r w:rsidRPr="00FF4A02">
        <w:rPr>
          <w:color w:val="265EAC"/>
          <w:sz w:val="24"/>
        </w:rPr>
        <w:t xml:space="preserve">The sources of data are indicated in </w:t>
      </w:r>
      <w:r w:rsidR="004234C4">
        <w:rPr>
          <w:color w:val="265EAC"/>
          <w:sz w:val="24"/>
        </w:rPr>
        <w:t xml:space="preserve">each </w:t>
      </w:r>
      <w:r w:rsidRPr="00FF4A02">
        <w:rPr>
          <w:color w:val="265EAC"/>
          <w:sz w:val="24"/>
        </w:rPr>
        <w:t xml:space="preserve">the characterization: data to be collected onsite is listed under </w:t>
      </w:r>
      <w:r w:rsidR="004234C4">
        <w:rPr>
          <w:color w:val="265EAC"/>
          <w:sz w:val="24"/>
        </w:rPr>
        <w:t>“Program Data Tracking Requirements”</w:t>
      </w:r>
      <w:r w:rsidRPr="00FF4A02">
        <w:rPr>
          <w:color w:val="265EAC"/>
          <w:sz w:val="24"/>
        </w:rPr>
        <w:t xml:space="preserve">; other data sources are referenced in the Endnotes. </w:t>
      </w:r>
      <w:r w:rsidR="00797C0E">
        <w:rPr>
          <w:color w:val="265EAC"/>
          <w:sz w:val="24"/>
        </w:rPr>
        <w:t>Questions regarding the project registry are outside our scope of work.</w:t>
      </w:r>
    </w:p>
    <w:p w14:paraId="5763AB10" w14:textId="77777777" w:rsidR="00DC01EA" w:rsidRDefault="00DC01EA" w:rsidP="009C1791">
      <w:pPr>
        <w:pStyle w:val="ListParagraph"/>
        <w:tabs>
          <w:tab w:val="left" w:pos="859"/>
          <w:tab w:val="left" w:pos="860"/>
        </w:tabs>
        <w:ind w:right="433" w:firstLine="0"/>
        <w:rPr>
          <w:color w:val="265EAC"/>
          <w:sz w:val="24"/>
        </w:rPr>
      </w:pPr>
    </w:p>
    <w:p w14:paraId="7D419F0A" w14:textId="01A82C88" w:rsidR="00DC01EA" w:rsidRPr="00DC01EA" w:rsidRDefault="00DC01EA" w:rsidP="009C1791">
      <w:pPr>
        <w:pStyle w:val="ListParagraph"/>
        <w:tabs>
          <w:tab w:val="left" w:pos="859"/>
          <w:tab w:val="left" w:pos="860"/>
        </w:tabs>
        <w:ind w:right="433" w:firstLine="0"/>
        <w:rPr>
          <w:color w:val="FF0000"/>
          <w:sz w:val="24"/>
        </w:rPr>
      </w:pPr>
      <w:r>
        <w:rPr>
          <w:color w:val="FF0000"/>
          <w:sz w:val="24"/>
        </w:rPr>
        <w:t xml:space="preserve">TAG: OK. We are aware that </w:t>
      </w:r>
      <w:r w:rsidRPr="00DC01EA">
        <w:rPr>
          <w:i/>
          <w:iCs/>
          <w:color w:val="FF0000"/>
          <w:sz w:val="24"/>
        </w:rPr>
        <w:t>Efficiency Vermont</w:t>
      </w:r>
      <w:r>
        <w:rPr>
          <w:color w:val="FF0000"/>
          <w:sz w:val="24"/>
        </w:rPr>
        <w:t xml:space="preserve"> is working with OD to develop these data.</w:t>
      </w:r>
    </w:p>
    <w:p w14:paraId="39EAAA7E" w14:textId="77777777" w:rsidR="00F912D4" w:rsidRDefault="00F912D4">
      <w:pPr>
        <w:pStyle w:val="BodyText"/>
        <w:spacing w:before="10"/>
        <w:ind w:left="0" w:firstLine="0"/>
        <w:rPr>
          <w:sz w:val="23"/>
        </w:rPr>
      </w:pPr>
    </w:p>
    <w:p w14:paraId="7A9B7D3C" w14:textId="77777777" w:rsidR="00F912D4" w:rsidRDefault="00D613E2">
      <w:pPr>
        <w:pStyle w:val="Heading1"/>
        <w:jc w:val="both"/>
      </w:pPr>
      <w:r>
        <w:t>Residential HVAC - Advanced Thermostats</w:t>
      </w:r>
    </w:p>
    <w:p w14:paraId="46435C60" w14:textId="77777777" w:rsidR="009C1791" w:rsidRPr="009C1791" w:rsidRDefault="00D613E2">
      <w:pPr>
        <w:pStyle w:val="ListParagraph"/>
        <w:numPr>
          <w:ilvl w:val="0"/>
          <w:numId w:val="1"/>
        </w:numPr>
        <w:tabs>
          <w:tab w:val="left" w:pos="860"/>
        </w:tabs>
        <w:spacing w:before="3"/>
        <w:ind w:right="291"/>
        <w:jc w:val="both"/>
        <w:rPr>
          <w:color w:val="265EAC"/>
          <w:sz w:val="24"/>
        </w:rPr>
      </w:pPr>
      <w:r>
        <w:rPr>
          <w:sz w:val="24"/>
        </w:rPr>
        <w:t>Our understanding is that emissions reductions are calculated with respect to the hourly capacity of the heating unit rather than the annual heat load of the building. If that’s the case, then the thermal efficiency of the house is not accounted for. Please</w:t>
      </w:r>
      <w:r>
        <w:rPr>
          <w:spacing w:val="-9"/>
          <w:sz w:val="24"/>
        </w:rPr>
        <w:t xml:space="preserve"> </w:t>
      </w:r>
      <w:r>
        <w:rPr>
          <w:sz w:val="24"/>
        </w:rPr>
        <w:t>explain.</w:t>
      </w:r>
      <w:r w:rsidR="00FF4A02">
        <w:rPr>
          <w:sz w:val="24"/>
        </w:rPr>
        <w:t xml:space="preserve"> </w:t>
      </w:r>
    </w:p>
    <w:p w14:paraId="0AE66D95" w14:textId="77777777" w:rsidR="009C1791" w:rsidRPr="009C1791" w:rsidRDefault="009C1791" w:rsidP="009C1791">
      <w:pPr>
        <w:pStyle w:val="ListParagraph"/>
        <w:tabs>
          <w:tab w:val="left" w:pos="860"/>
        </w:tabs>
        <w:spacing w:before="3"/>
        <w:ind w:right="291" w:firstLine="0"/>
        <w:jc w:val="both"/>
        <w:rPr>
          <w:color w:val="265EAC"/>
          <w:sz w:val="24"/>
        </w:rPr>
      </w:pPr>
    </w:p>
    <w:p w14:paraId="3A20625B" w14:textId="213BB6F4" w:rsidR="00F912D4" w:rsidRDefault="00FF4A02" w:rsidP="009C1791">
      <w:pPr>
        <w:pStyle w:val="ListParagraph"/>
        <w:tabs>
          <w:tab w:val="left" w:pos="860"/>
        </w:tabs>
        <w:spacing w:before="3"/>
        <w:ind w:right="291" w:firstLine="0"/>
        <w:jc w:val="both"/>
        <w:rPr>
          <w:color w:val="265EAC"/>
          <w:sz w:val="24"/>
        </w:rPr>
      </w:pPr>
      <w:r w:rsidRPr="0057360A">
        <w:rPr>
          <w:color w:val="265EAC"/>
          <w:sz w:val="24"/>
        </w:rPr>
        <w:t xml:space="preserve">The algorithm is a standard form for this measure. It calculates the savings as a percentage of the </w:t>
      </w:r>
      <w:r w:rsidR="00797C0E">
        <w:rPr>
          <w:color w:val="265EAC"/>
          <w:sz w:val="24"/>
        </w:rPr>
        <w:t xml:space="preserve">annual </w:t>
      </w:r>
      <w:r w:rsidRPr="0057360A">
        <w:rPr>
          <w:color w:val="265EAC"/>
          <w:sz w:val="24"/>
        </w:rPr>
        <w:t xml:space="preserve">heating load, </w:t>
      </w:r>
      <w:r w:rsidR="004234C4">
        <w:rPr>
          <w:color w:val="265EAC"/>
          <w:sz w:val="24"/>
        </w:rPr>
        <w:t xml:space="preserve">which is </w:t>
      </w:r>
      <w:r w:rsidRPr="0057360A">
        <w:rPr>
          <w:color w:val="265EAC"/>
          <w:sz w:val="24"/>
        </w:rPr>
        <w:t xml:space="preserve">approximately equal to the </w:t>
      </w:r>
      <w:r w:rsidR="00250CC5" w:rsidRPr="0057360A">
        <w:rPr>
          <w:color w:val="265EAC"/>
          <w:sz w:val="24"/>
        </w:rPr>
        <w:t xml:space="preserve">capacity of the heating unit controlled by the thermostat (in Btu per hour) multiplied by the equivalent full load hours. The thermal efficiency </w:t>
      </w:r>
      <w:r w:rsidR="002813CD">
        <w:rPr>
          <w:color w:val="265EAC"/>
          <w:sz w:val="24"/>
        </w:rPr>
        <w:t xml:space="preserve">of the house </w:t>
      </w:r>
      <w:r w:rsidR="00250CC5" w:rsidRPr="0057360A">
        <w:rPr>
          <w:color w:val="265EAC"/>
          <w:sz w:val="24"/>
        </w:rPr>
        <w:t>is reflected in the capacity of the heating system</w:t>
      </w:r>
      <w:r w:rsidR="00797C0E">
        <w:rPr>
          <w:color w:val="265EAC"/>
          <w:sz w:val="24"/>
        </w:rPr>
        <w:t xml:space="preserve">, which is assumed to be sized according to the design heating load of the house: </w:t>
      </w:r>
      <w:r w:rsidR="002813CD">
        <w:rPr>
          <w:color w:val="265EAC"/>
          <w:sz w:val="24"/>
        </w:rPr>
        <w:t xml:space="preserve"> all other things being equal, a poorly insulated house would need a larger heating system than the same house with better insulation.  </w:t>
      </w:r>
    </w:p>
    <w:p w14:paraId="4E40FC33" w14:textId="77777777" w:rsidR="00DC01EA" w:rsidRDefault="00DC01EA" w:rsidP="009C1791">
      <w:pPr>
        <w:pStyle w:val="ListParagraph"/>
        <w:tabs>
          <w:tab w:val="left" w:pos="860"/>
        </w:tabs>
        <w:spacing w:before="3"/>
        <w:ind w:right="291" w:firstLine="0"/>
        <w:jc w:val="both"/>
        <w:rPr>
          <w:color w:val="265EAC"/>
          <w:sz w:val="24"/>
        </w:rPr>
      </w:pPr>
    </w:p>
    <w:p w14:paraId="6D85F078" w14:textId="0032FD7A" w:rsidR="00DC01EA" w:rsidRPr="00DC01EA" w:rsidRDefault="00DC01EA" w:rsidP="009C1791">
      <w:pPr>
        <w:pStyle w:val="ListParagraph"/>
        <w:tabs>
          <w:tab w:val="left" w:pos="860"/>
        </w:tabs>
        <w:spacing w:before="3"/>
        <w:ind w:right="291" w:firstLine="0"/>
        <w:jc w:val="both"/>
        <w:rPr>
          <w:color w:val="FF0000"/>
          <w:sz w:val="24"/>
        </w:rPr>
      </w:pPr>
      <w:r>
        <w:rPr>
          <w:color w:val="FF0000"/>
          <w:sz w:val="24"/>
        </w:rPr>
        <w:t>TAG: OK.</w:t>
      </w:r>
    </w:p>
    <w:p w14:paraId="79134A86" w14:textId="77777777" w:rsidR="009C1791" w:rsidRPr="0057360A" w:rsidRDefault="009C1791" w:rsidP="009C1791">
      <w:pPr>
        <w:pStyle w:val="ListParagraph"/>
        <w:tabs>
          <w:tab w:val="left" w:pos="860"/>
        </w:tabs>
        <w:spacing w:before="3"/>
        <w:ind w:right="291" w:firstLine="0"/>
        <w:jc w:val="both"/>
        <w:rPr>
          <w:color w:val="265EAC"/>
          <w:sz w:val="24"/>
        </w:rPr>
      </w:pPr>
    </w:p>
    <w:p w14:paraId="62D82F16" w14:textId="77777777" w:rsidR="009C1791" w:rsidRPr="009C1791" w:rsidRDefault="00D613E2" w:rsidP="00797C0E">
      <w:pPr>
        <w:pStyle w:val="ListParagraph"/>
        <w:numPr>
          <w:ilvl w:val="0"/>
          <w:numId w:val="1"/>
        </w:numPr>
        <w:tabs>
          <w:tab w:val="left" w:pos="860"/>
        </w:tabs>
        <w:ind w:right="303"/>
        <w:jc w:val="both"/>
        <w:rPr>
          <w:color w:val="265EAC"/>
          <w:sz w:val="24"/>
        </w:rPr>
      </w:pPr>
      <w:r>
        <w:rPr>
          <w:sz w:val="24"/>
        </w:rPr>
        <w:t>Please confirm that lifetime GHG emissions savings will be converted to and expressed in annual credits. [This applies to all</w:t>
      </w:r>
      <w:r>
        <w:rPr>
          <w:spacing w:val="-3"/>
          <w:sz w:val="24"/>
        </w:rPr>
        <w:t xml:space="preserve"> </w:t>
      </w:r>
      <w:r>
        <w:rPr>
          <w:sz w:val="24"/>
        </w:rPr>
        <w:t>measures.]</w:t>
      </w:r>
      <w:r w:rsidR="002813CD">
        <w:rPr>
          <w:sz w:val="24"/>
        </w:rPr>
        <w:t xml:space="preserve"> </w:t>
      </w:r>
    </w:p>
    <w:p w14:paraId="1ECF7FD8" w14:textId="77777777" w:rsidR="009C1791" w:rsidRPr="009C1791" w:rsidRDefault="009C1791" w:rsidP="009C1791">
      <w:pPr>
        <w:pStyle w:val="ListParagraph"/>
        <w:tabs>
          <w:tab w:val="left" w:pos="860"/>
        </w:tabs>
        <w:ind w:right="303" w:firstLine="0"/>
        <w:jc w:val="both"/>
        <w:rPr>
          <w:color w:val="265EAC"/>
          <w:sz w:val="24"/>
        </w:rPr>
      </w:pPr>
    </w:p>
    <w:p w14:paraId="335B8D60" w14:textId="612F0585" w:rsidR="007C3F2A" w:rsidRDefault="006B6143" w:rsidP="009C1791">
      <w:pPr>
        <w:pStyle w:val="ListParagraph"/>
        <w:tabs>
          <w:tab w:val="left" w:pos="860"/>
        </w:tabs>
        <w:ind w:right="303" w:firstLine="0"/>
        <w:jc w:val="both"/>
        <w:rPr>
          <w:color w:val="265EAC"/>
          <w:sz w:val="24"/>
        </w:rPr>
      </w:pPr>
      <w:r>
        <w:rPr>
          <w:color w:val="265EAC"/>
          <w:sz w:val="24"/>
        </w:rPr>
        <w:t xml:space="preserve">We had not planned to express emissions savings in annual </w:t>
      </w:r>
      <w:r w:rsidR="00547704">
        <w:rPr>
          <w:color w:val="265EAC"/>
          <w:sz w:val="24"/>
        </w:rPr>
        <w:t>credits</w:t>
      </w:r>
      <w:r w:rsidR="009C1791">
        <w:rPr>
          <w:color w:val="265EAC"/>
          <w:sz w:val="24"/>
        </w:rPr>
        <w:t>, but based on this feedback we are happy to do</w:t>
      </w:r>
      <w:r>
        <w:rPr>
          <w:color w:val="265EAC"/>
          <w:sz w:val="24"/>
        </w:rPr>
        <w:t xml:space="preserve"> so once a CO2e</w:t>
      </w:r>
      <w:r w:rsidR="009C1791">
        <w:rPr>
          <w:color w:val="265EAC"/>
          <w:sz w:val="24"/>
        </w:rPr>
        <w:t xml:space="preserve"> to credit</w:t>
      </w:r>
      <w:r>
        <w:rPr>
          <w:color w:val="265EAC"/>
          <w:sz w:val="24"/>
        </w:rPr>
        <w:t xml:space="preserve"> equivalency is</w:t>
      </w:r>
      <w:r w:rsidR="00547704">
        <w:rPr>
          <w:color w:val="265EAC"/>
          <w:sz w:val="24"/>
        </w:rPr>
        <w:t xml:space="preserve"> </w:t>
      </w:r>
      <w:r>
        <w:rPr>
          <w:color w:val="265EAC"/>
          <w:sz w:val="24"/>
        </w:rPr>
        <w:t>established</w:t>
      </w:r>
      <w:r w:rsidR="00797C0E">
        <w:rPr>
          <w:color w:val="265EAC"/>
          <w:sz w:val="24"/>
        </w:rPr>
        <w:t>.</w:t>
      </w:r>
    </w:p>
    <w:p w14:paraId="1C7ACF10" w14:textId="77777777" w:rsidR="00DC01EA" w:rsidRDefault="00DC01EA" w:rsidP="009C1791">
      <w:pPr>
        <w:pStyle w:val="ListParagraph"/>
        <w:tabs>
          <w:tab w:val="left" w:pos="860"/>
        </w:tabs>
        <w:ind w:right="303" w:firstLine="0"/>
        <w:jc w:val="both"/>
        <w:rPr>
          <w:color w:val="265EAC"/>
          <w:sz w:val="24"/>
        </w:rPr>
      </w:pPr>
    </w:p>
    <w:p w14:paraId="298E9642" w14:textId="2334F31F" w:rsidR="00DC01EA" w:rsidRPr="00DC01EA" w:rsidRDefault="00DC01EA" w:rsidP="009C1791">
      <w:pPr>
        <w:pStyle w:val="ListParagraph"/>
        <w:tabs>
          <w:tab w:val="left" w:pos="860"/>
        </w:tabs>
        <w:ind w:right="303" w:firstLine="0"/>
        <w:jc w:val="both"/>
        <w:rPr>
          <w:color w:val="FF0000"/>
          <w:sz w:val="24"/>
        </w:rPr>
      </w:pPr>
      <w:r>
        <w:rPr>
          <w:color w:val="FF0000"/>
          <w:sz w:val="24"/>
        </w:rPr>
        <w:t>TAG: OK.</w:t>
      </w:r>
    </w:p>
    <w:p w14:paraId="1A40928E" w14:textId="77777777" w:rsidR="007C3F2A" w:rsidRDefault="007C3F2A" w:rsidP="007C3F2A">
      <w:pPr>
        <w:tabs>
          <w:tab w:val="left" w:pos="860"/>
        </w:tabs>
        <w:ind w:left="860" w:right="303"/>
        <w:jc w:val="both"/>
        <w:rPr>
          <w:color w:val="265EAC"/>
          <w:sz w:val="24"/>
        </w:rPr>
      </w:pPr>
    </w:p>
    <w:p w14:paraId="50123BEB" w14:textId="5A4B6A79" w:rsidR="00F912D4" w:rsidRDefault="00D613E2" w:rsidP="007C3F2A">
      <w:pPr>
        <w:pStyle w:val="ListParagraph"/>
        <w:numPr>
          <w:ilvl w:val="0"/>
          <w:numId w:val="2"/>
        </w:numPr>
        <w:tabs>
          <w:tab w:val="left" w:pos="860"/>
        </w:tabs>
        <w:ind w:right="303"/>
        <w:jc w:val="both"/>
        <w:rPr>
          <w:sz w:val="24"/>
        </w:rPr>
      </w:pPr>
      <w:r w:rsidRPr="007C3F2A">
        <w:rPr>
          <w:sz w:val="24"/>
        </w:rPr>
        <w:t>OD has included savings from the effects of advanced thermostats on cooling loads in its measure characterizations. This seems reasonable. However, the TAG is aware that a question has been raised by at least one party to the proceeding about whether the measure, as it relates to non-onsite fossil energy loads (i.e., electricity), should be eligible. What clarification from the PUC has OD received on this</w:t>
      </w:r>
      <w:r w:rsidRPr="007C3F2A">
        <w:rPr>
          <w:spacing w:val="-5"/>
          <w:sz w:val="24"/>
        </w:rPr>
        <w:t xml:space="preserve"> </w:t>
      </w:r>
      <w:r w:rsidRPr="007C3F2A">
        <w:rPr>
          <w:sz w:val="24"/>
        </w:rPr>
        <w:t>point?</w:t>
      </w:r>
    </w:p>
    <w:p w14:paraId="7ED58129" w14:textId="77777777" w:rsidR="007C3F2A" w:rsidRDefault="007C3F2A" w:rsidP="007C3F2A">
      <w:pPr>
        <w:tabs>
          <w:tab w:val="left" w:pos="860"/>
        </w:tabs>
        <w:ind w:right="303"/>
        <w:jc w:val="both"/>
        <w:rPr>
          <w:sz w:val="24"/>
        </w:rPr>
      </w:pPr>
    </w:p>
    <w:p w14:paraId="4D9BA96F" w14:textId="0AE2B1D1" w:rsidR="007C3F2A" w:rsidRDefault="007C3F2A" w:rsidP="007C3F2A">
      <w:pPr>
        <w:tabs>
          <w:tab w:val="left" w:pos="860"/>
        </w:tabs>
        <w:ind w:left="860" w:right="303"/>
        <w:jc w:val="both"/>
        <w:rPr>
          <w:iCs/>
          <w:color w:val="265EAC"/>
          <w:sz w:val="24"/>
        </w:rPr>
      </w:pPr>
      <w:r>
        <w:rPr>
          <w:iCs/>
          <w:color w:val="265EAC"/>
          <w:sz w:val="24"/>
        </w:rPr>
        <w:t>We discussed this issue in early meetings with the PUC. Staff were interested in including cooling impacts but did not take a position on whether cooling impacts should</w:t>
      </w:r>
      <w:r w:rsidR="00AC7ADE">
        <w:rPr>
          <w:iCs/>
          <w:color w:val="265EAC"/>
          <w:sz w:val="24"/>
        </w:rPr>
        <w:t xml:space="preserve"> be eligible for clean heat credits. We suggested that expressing cooling impacts could be beneficial for evaluating the cost-effectiveness of clean heat programs, even if cooling impacts themselves do not qualify for clean heat credits.</w:t>
      </w:r>
    </w:p>
    <w:p w14:paraId="6ADBB6F2" w14:textId="77777777" w:rsidR="00AC7ADE" w:rsidRDefault="00AC7ADE" w:rsidP="007C3F2A">
      <w:pPr>
        <w:tabs>
          <w:tab w:val="left" w:pos="860"/>
        </w:tabs>
        <w:ind w:left="860" w:right="303"/>
        <w:jc w:val="both"/>
        <w:rPr>
          <w:iCs/>
          <w:color w:val="265EAC"/>
          <w:sz w:val="24"/>
        </w:rPr>
      </w:pPr>
    </w:p>
    <w:p w14:paraId="76F142B7" w14:textId="35756898" w:rsidR="00524739" w:rsidRDefault="00AC7ADE" w:rsidP="007C3F2A">
      <w:pPr>
        <w:tabs>
          <w:tab w:val="left" w:pos="860"/>
        </w:tabs>
        <w:ind w:left="860" w:right="303"/>
        <w:jc w:val="both"/>
        <w:rPr>
          <w:iCs/>
          <w:color w:val="265EAC"/>
          <w:sz w:val="24"/>
        </w:rPr>
      </w:pPr>
      <w:r>
        <w:rPr>
          <w:iCs/>
          <w:color w:val="265EAC"/>
          <w:sz w:val="24"/>
        </w:rPr>
        <w:t xml:space="preserve">This same </w:t>
      </w:r>
      <w:r w:rsidR="00672D0D">
        <w:rPr>
          <w:iCs/>
          <w:color w:val="265EAC"/>
          <w:sz w:val="24"/>
        </w:rPr>
        <w:t>issue</w:t>
      </w:r>
      <w:r>
        <w:rPr>
          <w:iCs/>
          <w:color w:val="265EAC"/>
          <w:sz w:val="24"/>
        </w:rPr>
        <w:t xml:space="preserve"> applies to other non-thermal impacts associated with some measures. For example, </w:t>
      </w:r>
      <w:r w:rsidR="005547EC">
        <w:rPr>
          <w:iCs/>
          <w:color w:val="265EAC"/>
          <w:sz w:val="24"/>
        </w:rPr>
        <w:t xml:space="preserve">the Building Shell Insulation measure includes fan and pump electrical energy savings; installing insulation decreases the heating load of the house, which </w:t>
      </w:r>
      <w:r w:rsidR="005547EC">
        <w:rPr>
          <w:iCs/>
          <w:color w:val="265EAC"/>
          <w:sz w:val="24"/>
        </w:rPr>
        <w:lastRenderedPageBreak/>
        <w:t xml:space="preserve">reduces furnace fan or boiler pump runtime. </w:t>
      </w:r>
      <w:r w:rsidR="00524739">
        <w:rPr>
          <w:iCs/>
          <w:color w:val="265EAC"/>
          <w:sz w:val="24"/>
        </w:rPr>
        <w:t xml:space="preserve">Our current approach is to express all </w:t>
      </w:r>
      <w:r w:rsidR="005547EC">
        <w:rPr>
          <w:iCs/>
          <w:color w:val="265EAC"/>
          <w:sz w:val="24"/>
        </w:rPr>
        <w:t xml:space="preserve">significant energy </w:t>
      </w:r>
      <w:r w:rsidR="00524739">
        <w:rPr>
          <w:iCs/>
          <w:color w:val="265EAC"/>
          <w:sz w:val="24"/>
        </w:rPr>
        <w:t xml:space="preserve">impacts </w:t>
      </w:r>
      <w:r w:rsidR="005547EC">
        <w:rPr>
          <w:iCs/>
          <w:color w:val="265EAC"/>
          <w:sz w:val="24"/>
        </w:rPr>
        <w:t>of each measure</w:t>
      </w:r>
      <w:r w:rsidR="00D85DF7">
        <w:rPr>
          <w:iCs/>
          <w:color w:val="265EAC"/>
          <w:sz w:val="24"/>
        </w:rPr>
        <w:t>. We could modify the characterization format to indicate which energy impacts qualify for clean heat credits and which are ancillary impacts if desired.</w:t>
      </w:r>
    </w:p>
    <w:p w14:paraId="0F31C84C" w14:textId="77777777" w:rsidR="00DC01EA" w:rsidRDefault="00DC01EA" w:rsidP="007C3F2A">
      <w:pPr>
        <w:tabs>
          <w:tab w:val="left" w:pos="860"/>
        </w:tabs>
        <w:ind w:left="860" w:right="303"/>
        <w:jc w:val="both"/>
        <w:rPr>
          <w:iCs/>
          <w:color w:val="265EAC"/>
          <w:sz w:val="24"/>
        </w:rPr>
      </w:pPr>
    </w:p>
    <w:p w14:paraId="6E2932F4" w14:textId="7F3F7B49" w:rsidR="00DC01EA" w:rsidRPr="00DC01EA" w:rsidRDefault="00DC01EA" w:rsidP="007C3F2A">
      <w:pPr>
        <w:tabs>
          <w:tab w:val="left" w:pos="860"/>
        </w:tabs>
        <w:ind w:left="860" w:right="303"/>
        <w:jc w:val="both"/>
        <w:rPr>
          <w:iCs/>
          <w:color w:val="FF0000"/>
          <w:sz w:val="24"/>
        </w:rPr>
      </w:pPr>
      <w:r>
        <w:rPr>
          <w:iCs/>
          <w:color w:val="FF0000"/>
          <w:sz w:val="24"/>
        </w:rPr>
        <w:t>TAG: OK.</w:t>
      </w:r>
    </w:p>
    <w:p w14:paraId="1D1CEA34" w14:textId="77777777" w:rsidR="00D85DF7" w:rsidRPr="007C3F2A" w:rsidRDefault="00D85DF7" w:rsidP="007C3F2A">
      <w:pPr>
        <w:tabs>
          <w:tab w:val="left" w:pos="860"/>
        </w:tabs>
        <w:ind w:left="860" w:right="303"/>
        <w:jc w:val="both"/>
        <w:rPr>
          <w:sz w:val="24"/>
        </w:rPr>
      </w:pPr>
    </w:p>
    <w:p w14:paraId="164122EF" w14:textId="77777777" w:rsidR="009C1791" w:rsidRPr="009C1791" w:rsidRDefault="00D613E2" w:rsidP="00E14C9A">
      <w:pPr>
        <w:pStyle w:val="ListParagraph"/>
        <w:numPr>
          <w:ilvl w:val="0"/>
          <w:numId w:val="1"/>
        </w:numPr>
        <w:tabs>
          <w:tab w:val="left" w:pos="859"/>
          <w:tab w:val="left" w:pos="860"/>
        </w:tabs>
        <w:ind w:right="171"/>
        <w:rPr>
          <w:color w:val="265EAC"/>
          <w:sz w:val="24"/>
        </w:rPr>
      </w:pPr>
      <w:r>
        <w:rPr>
          <w:sz w:val="24"/>
        </w:rPr>
        <w:t>Are savings from the effects of advanced thermostats on fossil systems calculated differently from their effects on heat pumps? [Manufacturers recommend that heat pumps be maintained on a steady setting, rather than being cycled during night times and when houses are empty, to maintain unit efficiency of unit.] Are the energy savings assumed to be the same (though the emissions savings will clearly be</w:t>
      </w:r>
      <w:r>
        <w:rPr>
          <w:spacing w:val="-10"/>
          <w:sz w:val="24"/>
        </w:rPr>
        <w:t xml:space="preserve"> </w:t>
      </w:r>
      <w:r>
        <w:rPr>
          <w:sz w:val="24"/>
        </w:rPr>
        <w:t>different</w:t>
      </w:r>
      <w:r w:rsidRPr="00524739">
        <w:rPr>
          <w:color w:val="265EAC"/>
          <w:sz w:val="24"/>
        </w:rPr>
        <w:t>)</w:t>
      </w:r>
      <w:r w:rsidRPr="009C1791">
        <w:rPr>
          <w:color w:val="4A4D56"/>
          <w:sz w:val="24"/>
        </w:rPr>
        <w:t>?</w:t>
      </w:r>
      <w:r w:rsidR="00AC7ADE" w:rsidRPr="009C1791">
        <w:rPr>
          <w:color w:val="4A4D56"/>
          <w:sz w:val="24"/>
        </w:rPr>
        <w:t xml:space="preserve"> </w:t>
      </w:r>
    </w:p>
    <w:p w14:paraId="1F8D7F1E" w14:textId="77777777" w:rsidR="009C1791" w:rsidRDefault="009C1791" w:rsidP="009C1791">
      <w:pPr>
        <w:pStyle w:val="ListParagraph"/>
        <w:tabs>
          <w:tab w:val="left" w:pos="859"/>
          <w:tab w:val="left" w:pos="860"/>
        </w:tabs>
        <w:ind w:right="171" w:firstLine="0"/>
        <w:rPr>
          <w:color w:val="265EAC"/>
          <w:sz w:val="24"/>
        </w:rPr>
      </w:pPr>
    </w:p>
    <w:p w14:paraId="1318E42D" w14:textId="5BE5F24E" w:rsidR="00E14C9A" w:rsidRDefault="00AC7ADE" w:rsidP="009C1791">
      <w:pPr>
        <w:pStyle w:val="ListParagraph"/>
        <w:tabs>
          <w:tab w:val="left" w:pos="859"/>
          <w:tab w:val="left" w:pos="860"/>
        </w:tabs>
        <w:ind w:right="171" w:firstLine="0"/>
        <w:rPr>
          <w:color w:val="265EAC"/>
          <w:sz w:val="24"/>
        </w:rPr>
      </w:pPr>
      <w:r w:rsidRPr="00524739">
        <w:rPr>
          <w:color w:val="265EAC"/>
          <w:sz w:val="24"/>
        </w:rPr>
        <w:t xml:space="preserve">This is an excellent point. We </w:t>
      </w:r>
      <w:r w:rsidR="00524739" w:rsidRPr="00524739">
        <w:rPr>
          <w:color w:val="265EAC"/>
          <w:sz w:val="24"/>
        </w:rPr>
        <w:t xml:space="preserve">are not aware of heat pump-specific studies on advanced thermostats but expect that the savings potential from advanced thermostats would be much lower </w:t>
      </w:r>
      <w:r w:rsidR="005547EC">
        <w:rPr>
          <w:color w:val="265EAC"/>
          <w:sz w:val="24"/>
        </w:rPr>
        <w:t xml:space="preserve">if temperature setbacks are not available as </w:t>
      </w:r>
      <w:r w:rsidR="00E14C9A">
        <w:rPr>
          <w:color w:val="265EAC"/>
          <w:sz w:val="24"/>
        </w:rPr>
        <w:t xml:space="preserve">control </w:t>
      </w:r>
      <w:r w:rsidR="005547EC">
        <w:rPr>
          <w:color w:val="265EAC"/>
          <w:sz w:val="24"/>
        </w:rPr>
        <w:t xml:space="preserve">strategy. </w:t>
      </w:r>
      <w:r w:rsidR="00E14C9A">
        <w:rPr>
          <w:color w:val="265EAC"/>
          <w:sz w:val="24"/>
        </w:rPr>
        <w:t xml:space="preserve">Based on the comments in the 7/11/2024 TAG presentation, we intend to keep heat pumps as an eligible system for this measure but </w:t>
      </w:r>
      <w:r w:rsidR="00F02B25">
        <w:rPr>
          <w:color w:val="265EAC"/>
          <w:sz w:val="24"/>
        </w:rPr>
        <w:t>derate the heating savings according to the estimated proportion of heat pumps in VT residential heating systems</w:t>
      </w:r>
      <w:r w:rsidR="00524739" w:rsidRPr="00524739">
        <w:rPr>
          <w:color w:val="265EAC"/>
          <w:sz w:val="24"/>
        </w:rPr>
        <w:t>.</w:t>
      </w:r>
    </w:p>
    <w:p w14:paraId="0E185740" w14:textId="77777777" w:rsidR="00DC01EA" w:rsidRDefault="00DC01EA" w:rsidP="009C1791">
      <w:pPr>
        <w:pStyle w:val="ListParagraph"/>
        <w:tabs>
          <w:tab w:val="left" w:pos="859"/>
          <w:tab w:val="left" w:pos="860"/>
        </w:tabs>
        <w:ind w:right="171" w:firstLine="0"/>
        <w:rPr>
          <w:color w:val="265EAC"/>
          <w:sz w:val="24"/>
        </w:rPr>
      </w:pPr>
    </w:p>
    <w:p w14:paraId="34ABB5B3" w14:textId="69C72F92" w:rsidR="00DC01EA" w:rsidRPr="00DC01EA" w:rsidRDefault="00DC01EA" w:rsidP="009C1791">
      <w:pPr>
        <w:pStyle w:val="ListParagraph"/>
        <w:tabs>
          <w:tab w:val="left" w:pos="859"/>
          <w:tab w:val="left" w:pos="860"/>
        </w:tabs>
        <w:ind w:right="171" w:firstLine="0"/>
        <w:rPr>
          <w:color w:val="FF0000"/>
          <w:sz w:val="24"/>
        </w:rPr>
      </w:pPr>
      <w:r>
        <w:rPr>
          <w:color w:val="FF0000"/>
          <w:sz w:val="24"/>
        </w:rPr>
        <w:t>TAG: Please explain the statement: “. . . but derate the heating savings according to the estimated proportion of heat pumps in VT residential heating systems.”</w:t>
      </w:r>
    </w:p>
    <w:p w14:paraId="6931DAC3" w14:textId="77777777" w:rsidR="00524739" w:rsidRPr="00524739" w:rsidRDefault="00524739" w:rsidP="00524739">
      <w:pPr>
        <w:pStyle w:val="ListParagraph"/>
        <w:tabs>
          <w:tab w:val="left" w:pos="859"/>
          <w:tab w:val="left" w:pos="860"/>
        </w:tabs>
        <w:ind w:right="171" w:firstLine="0"/>
        <w:rPr>
          <w:color w:val="265EAC"/>
          <w:sz w:val="24"/>
        </w:rPr>
      </w:pPr>
    </w:p>
    <w:p w14:paraId="7D65613D" w14:textId="77777777" w:rsidR="009C1791" w:rsidRDefault="00D613E2">
      <w:pPr>
        <w:pStyle w:val="ListParagraph"/>
        <w:numPr>
          <w:ilvl w:val="0"/>
          <w:numId w:val="1"/>
        </w:numPr>
        <w:tabs>
          <w:tab w:val="left" w:pos="859"/>
          <w:tab w:val="left" w:pos="860"/>
        </w:tabs>
        <w:spacing w:before="1"/>
        <w:ind w:right="171"/>
        <w:rPr>
          <w:sz w:val="24"/>
        </w:rPr>
      </w:pPr>
      <w:r>
        <w:rPr>
          <w:sz w:val="24"/>
        </w:rPr>
        <w:t xml:space="preserve">[Question raised by a member of the public:] To the extent that heat pumps will be cycled on at times when marginal emissions on the electric system are greater, will this be accounted for? [Note: the TAG has not taken a position on the nature of marginal carbon emissions from the electric grid and today’s subgroup is neither agreeing </w:t>
      </w:r>
      <w:proofErr w:type="gramStart"/>
      <w:r>
        <w:rPr>
          <w:sz w:val="24"/>
        </w:rPr>
        <w:t>or</w:t>
      </w:r>
      <w:proofErr w:type="gramEnd"/>
      <w:r>
        <w:rPr>
          <w:sz w:val="24"/>
        </w:rPr>
        <w:t xml:space="preserve"> disagreeing with the premise of this</w:t>
      </w:r>
      <w:r>
        <w:rPr>
          <w:spacing w:val="-2"/>
          <w:sz w:val="24"/>
        </w:rPr>
        <w:t xml:space="preserve"> </w:t>
      </w:r>
      <w:r>
        <w:rPr>
          <w:sz w:val="24"/>
        </w:rPr>
        <w:t>question.]</w:t>
      </w:r>
      <w:r w:rsidR="00524739">
        <w:rPr>
          <w:sz w:val="24"/>
        </w:rPr>
        <w:t xml:space="preserve"> </w:t>
      </w:r>
    </w:p>
    <w:p w14:paraId="68691675" w14:textId="77777777" w:rsidR="009C1791" w:rsidRDefault="009C1791" w:rsidP="009C1791">
      <w:pPr>
        <w:pStyle w:val="ListParagraph"/>
        <w:tabs>
          <w:tab w:val="left" w:pos="859"/>
          <w:tab w:val="left" w:pos="860"/>
        </w:tabs>
        <w:spacing w:before="1"/>
        <w:ind w:right="171" w:firstLine="0"/>
        <w:rPr>
          <w:sz w:val="24"/>
        </w:rPr>
      </w:pPr>
    </w:p>
    <w:p w14:paraId="78DBF32C" w14:textId="35506615" w:rsidR="00F912D4" w:rsidRDefault="00E14C9A" w:rsidP="009C1791">
      <w:pPr>
        <w:pStyle w:val="ListParagraph"/>
        <w:tabs>
          <w:tab w:val="left" w:pos="859"/>
          <w:tab w:val="left" w:pos="860"/>
        </w:tabs>
        <w:spacing w:before="1"/>
        <w:ind w:right="171" w:firstLine="0"/>
        <w:rPr>
          <w:color w:val="265EAC"/>
          <w:sz w:val="24"/>
        </w:rPr>
      </w:pPr>
      <w:r>
        <w:rPr>
          <w:color w:val="265EAC"/>
          <w:sz w:val="24"/>
        </w:rPr>
        <w:t>We have not yet finalized our approach for grid electricity emission factors; while we understand that marginal emissions may vary by time of use, it is unclear whether existing data sources are sufficient to capture this effect on a lifecycle basis.</w:t>
      </w:r>
    </w:p>
    <w:p w14:paraId="13C7ACE8" w14:textId="77777777" w:rsidR="00DC7F08" w:rsidRDefault="00DC7F08" w:rsidP="009C1791">
      <w:pPr>
        <w:pStyle w:val="ListParagraph"/>
        <w:tabs>
          <w:tab w:val="left" w:pos="859"/>
          <w:tab w:val="left" w:pos="860"/>
        </w:tabs>
        <w:spacing w:before="1"/>
        <w:ind w:right="171" w:firstLine="0"/>
        <w:rPr>
          <w:color w:val="265EAC"/>
          <w:sz w:val="24"/>
        </w:rPr>
      </w:pPr>
    </w:p>
    <w:p w14:paraId="7E3D4D3B" w14:textId="113E0A75" w:rsidR="00DC7F08" w:rsidRPr="00DC7F08" w:rsidRDefault="00DC7F08" w:rsidP="009C1791">
      <w:pPr>
        <w:pStyle w:val="ListParagraph"/>
        <w:tabs>
          <w:tab w:val="left" w:pos="859"/>
          <w:tab w:val="left" w:pos="860"/>
        </w:tabs>
        <w:spacing w:before="1"/>
        <w:ind w:right="171" w:firstLine="0"/>
        <w:rPr>
          <w:color w:val="FF0000"/>
          <w:sz w:val="24"/>
        </w:rPr>
      </w:pPr>
      <w:r>
        <w:rPr>
          <w:color w:val="FF0000"/>
          <w:sz w:val="24"/>
        </w:rPr>
        <w:t>TAG: OK, but this warrants further discussion. We understand that California uses 24-hour emissions data, to relate the time-of-use of clean heat measures more closely to their actual emissions effects and thereby create disincentives to measure operations at times of low generation of non-emitting power. We recognize that such granularity may be harder to develop in Vermont’s case, to the extent that we are relying on renewable energy credits (RECs) for non-emitting entitlements, rather than contracts or owned resources.</w:t>
      </w:r>
    </w:p>
    <w:p w14:paraId="290CD094" w14:textId="77777777" w:rsidR="00F912D4" w:rsidRDefault="00F912D4">
      <w:pPr>
        <w:pStyle w:val="BodyText"/>
        <w:spacing w:before="2"/>
        <w:ind w:left="0" w:firstLine="0"/>
      </w:pPr>
    </w:p>
    <w:p w14:paraId="6BAA7F53" w14:textId="77777777" w:rsidR="00F912D4" w:rsidRDefault="00D613E2">
      <w:pPr>
        <w:pStyle w:val="Heading1"/>
        <w:spacing w:line="269" w:lineRule="exact"/>
      </w:pPr>
      <w:r>
        <w:t>Residential HVAC – Heat pump water heater</w:t>
      </w:r>
    </w:p>
    <w:p w14:paraId="74CB5AF8" w14:textId="77777777" w:rsidR="009C1791" w:rsidRDefault="00D613E2">
      <w:pPr>
        <w:pStyle w:val="ListParagraph"/>
        <w:numPr>
          <w:ilvl w:val="0"/>
          <w:numId w:val="1"/>
        </w:numPr>
        <w:tabs>
          <w:tab w:val="left" w:pos="859"/>
          <w:tab w:val="left" w:pos="860"/>
        </w:tabs>
        <w:ind w:right="148"/>
        <w:rPr>
          <w:sz w:val="24"/>
        </w:rPr>
      </w:pPr>
      <w:r>
        <w:rPr>
          <w:sz w:val="24"/>
        </w:rPr>
        <w:t>Measure characterizations are split between water heater tanks less-than-55 gallons and greater-than-55 gallons. The characterizations treat the efficiency of the measures the same; is this reasonable? Would it be better to base savings on usage (assuming the data are available) rather than tank capacity? The Tier III TRM shows that the smaller systems produce higher savings than the larger one, which may not necessarily be logical, but it is nonetheless</w:t>
      </w:r>
      <w:r>
        <w:rPr>
          <w:spacing w:val="-2"/>
          <w:sz w:val="24"/>
        </w:rPr>
        <w:t xml:space="preserve"> </w:t>
      </w:r>
      <w:r>
        <w:rPr>
          <w:sz w:val="24"/>
        </w:rPr>
        <w:t>relevant.</w:t>
      </w:r>
      <w:r w:rsidR="00C31348">
        <w:rPr>
          <w:sz w:val="24"/>
        </w:rPr>
        <w:t xml:space="preserve"> </w:t>
      </w:r>
    </w:p>
    <w:p w14:paraId="68E889F2" w14:textId="77777777" w:rsidR="009C1791" w:rsidRDefault="009C1791" w:rsidP="009C1791">
      <w:pPr>
        <w:pStyle w:val="ListParagraph"/>
        <w:tabs>
          <w:tab w:val="left" w:pos="859"/>
          <w:tab w:val="left" w:pos="860"/>
        </w:tabs>
        <w:ind w:right="148" w:firstLine="0"/>
        <w:rPr>
          <w:sz w:val="24"/>
        </w:rPr>
      </w:pPr>
    </w:p>
    <w:p w14:paraId="06E390E3" w14:textId="386DD747" w:rsidR="00F912D4" w:rsidRDefault="00B904F7" w:rsidP="009C1791">
      <w:pPr>
        <w:pStyle w:val="ListParagraph"/>
        <w:tabs>
          <w:tab w:val="left" w:pos="859"/>
          <w:tab w:val="left" w:pos="860"/>
        </w:tabs>
        <w:ind w:right="148" w:firstLine="0"/>
        <w:rPr>
          <w:color w:val="265EAC"/>
          <w:sz w:val="24"/>
        </w:rPr>
      </w:pPr>
      <w:r>
        <w:rPr>
          <w:color w:val="265EAC"/>
          <w:sz w:val="24"/>
        </w:rPr>
        <w:t xml:space="preserve">The current </w:t>
      </w:r>
      <w:r w:rsidR="00C31348">
        <w:rPr>
          <w:color w:val="265EAC"/>
          <w:sz w:val="24"/>
        </w:rPr>
        <w:t>measure characterization</w:t>
      </w:r>
      <w:r>
        <w:rPr>
          <w:color w:val="265EAC"/>
          <w:sz w:val="24"/>
        </w:rPr>
        <w:t xml:space="preserve"> considers both usage and efficiency</w:t>
      </w:r>
      <w:r w:rsidR="00C31348">
        <w:rPr>
          <w:color w:val="265EAC"/>
          <w:sz w:val="24"/>
        </w:rPr>
        <w:t xml:space="preserve">. The usage is embedded in the variable </w:t>
      </w:r>
      <w:proofErr w:type="spellStart"/>
      <w:r w:rsidR="00C31348">
        <w:rPr>
          <w:color w:val="265EAC"/>
          <w:sz w:val="24"/>
        </w:rPr>
        <w:t>Q</w:t>
      </w:r>
      <w:r w:rsidR="00C31348" w:rsidRPr="00C31348">
        <w:rPr>
          <w:color w:val="265EAC"/>
          <w:sz w:val="24"/>
          <w:vertAlign w:val="subscript"/>
        </w:rPr>
        <w:t>load</w:t>
      </w:r>
      <w:proofErr w:type="spellEnd"/>
      <w:r w:rsidR="00C31348" w:rsidRPr="00E14C9A">
        <w:rPr>
          <w:color w:val="265EAC"/>
          <w:sz w:val="24"/>
        </w:rPr>
        <w:t>,</w:t>
      </w:r>
      <w:r w:rsidR="00C31348">
        <w:rPr>
          <w:color w:val="265EAC"/>
          <w:sz w:val="24"/>
        </w:rPr>
        <w:t xml:space="preserve"> the average water heating load</w:t>
      </w:r>
      <w:r w:rsidR="001F5266">
        <w:rPr>
          <w:color w:val="265EAC"/>
          <w:sz w:val="24"/>
        </w:rPr>
        <w:t>, which is based on average household hot water usage</w:t>
      </w:r>
      <w:r w:rsidR="00C31348">
        <w:rPr>
          <w:color w:val="265EAC"/>
          <w:sz w:val="24"/>
        </w:rPr>
        <w:t xml:space="preserve">. The average water heating load is divided by the </w:t>
      </w:r>
      <w:r w:rsidR="001F5266">
        <w:rPr>
          <w:color w:val="265EAC"/>
          <w:sz w:val="24"/>
        </w:rPr>
        <w:t xml:space="preserve">efficiency of </w:t>
      </w:r>
      <w:r w:rsidR="001F5266">
        <w:rPr>
          <w:color w:val="265EAC"/>
          <w:sz w:val="24"/>
        </w:rPr>
        <w:lastRenderedPageBreak/>
        <w:t xml:space="preserve">the water heater to yield energy consumed. The </w:t>
      </w:r>
      <w:proofErr w:type="gramStart"/>
      <w:r w:rsidR="001F5266">
        <w:rPr>
          <w:color w:val="265EAC"/>
          <w:sz w:val="24"/>
        </w:rPr>
        <w:t>55 gallon</w:t>
      </w:r>
      <w:proofErr w:type="gramEnd"/>
      <w:r w:rsidR="001F5266">
        <w:rPr>
          <w:color w:val="265EAC"/>
          <w:sz w:val="24"/>
        </w:rPr>
        <w:t xml:space="preserve"> threshold comes from Code of Federal Regulation (CFR) standards for water heaters which base efficiency on tank size.</w:t>
      </w:r>
    </w:p>
    <w:p w14:paraId="0F57C185" w14:textId="77777777" w:rsidR="00FC1D87" w:rsidRDefault="00FC1D87" w:rsidP="009C1791">
      <w:pPr>
        <w:pStyle w:val="ListParagraph"/>
        <w:tabs>
          <w:tab w:val="left" w:pos="859"/>
          <w:tab w:val="left" w:pos="860"/>
        </w:tabs>
        <w:ind w:right="148" w:firstLine="0"/>
        <w:rPr>
          <w:color w:val="265EAC"/>
          <w:sz w:val="24"/>
        </w:rPr>
      </w:pPr>
    </w:p>
    <w:p w14:paraId="21A5AB0D" w14:textId="07BFBFB8" w:rsidR="00FC1D87" w:rsidRPr="00FC1D87" w:rsidRDefault="00FC1D87" w:rsidP="009C1791">
      <w:pPr>
        <w:pStyle w:val="ListParagraph"/>
        <w:tabs>
          <w:tab w:val="left" w:pos="859"/>
          <w:tab w:val="left" w:pos="860"/>
        </w:tabs>
        <w:ind w:right="148" w:firstLine="0"/>
        <w:rPr>
          <w:color w:val="FF0000"/>
          <w:sz w:val="24"/>
        </w:rPr>
      </w:pPr>
      <w:r>
        <w:rPr>
          <w:color w:val="FF0000"/>
          <w:sz w:val="24"/>
        </w:rPr>
        <w:t>TAG: OK (if this mirrors the Tier III approach, then it is likely that savings will be higher for smaller units).</w:t>
      </w:r>
    </w:p>
    <w:p w14:paraId="0A18EB81" w14:textId="77777777" w:rsidR="009C1791" w:rsidRDefault="009C1791" w:rsidP="009C1791">
      <w:pPr>
        <w:pStyle w:val="ListParagraph"/>
        <w:tabs>
          <w:tab w:val="left" w:pos="859"/>
          <w:tab w:val="left" w:pos="860"/>
        </w:tabs>
        <w:ind w:right="148" w:firstLine="0"/>
        <w:rPr>
          <w:sz w:val="24"/>
        </w:rPr>
      </w:pPr>
    </w:p>
    <w:p w14:paraId="5DBD34A2" w14:textId="77777777" w:rsidR="009C1791" w:rsidRDefault="00D613E2" w:rsidP="005D5821">
      <w:pPr>
        <w:pStyle w:val="ListParagraph"/>
        <w:numPr>
          <w:ilvl w:val="0"/>
          <w:numId w:val="1"/>
        </w:numPr>
        <w:tabs>
          <w:tab w:val="left" w:pos="859"/>
          <w:tab w:val="left" w:pos="860"/>
          <w:tab w:val="left" w:pos="6030"/>
        </w:tabs>
        <w:ind w:right="220"/>
        <w:rPr>
          <w:sz w:val="24"/>
        </w:rPr>
      </w:pPr>
      <w:r>
        <w:rPr>
          <w:sz w:val="24"/>
        </w:rPr>
        <w:t>The system that is being replaced is critical to the calculation, too. For example, isn’t there a meaningful difference between replacing the energy use of an on-demand water heater and that of a non-heat pump storage system? Are such differences accounted</w:t>
      </w:r>
      <w:r>
        <w:rPr>
          <w:spacing w:val="-13"/>
          <w:sz w:val="24"/>
        </w:rPr>
        <w:t xml:space="preserve"> </w:t>
      </w:r>
      <w:r>
        <w:rPr>
          <w:sz w:val="24"/>
        </w:rPr>
        <w:t>for?</w:t>
      </w:r>
      <w:r w:rsidR="001F5266">
        <w:rPr>
          <w:sz w:val="24"/>
        </w:rPr>
        <w:t xml:space="preserve"> </w:t>
      </w:r>
    </w:p>
    <w:p w14:paraId="0ED751AB" w14:textId="77777777" w:rsidR="009C1791" w:rsidRDefault="009C1791" w:rsidP="009C1791">
      <w:pPr>
        <w:pStyle w:val="ListParagraph"/>
        <w:tabs>
          <w:tab w:val="left" w:pos="859"/>
          <w:tab w:val="left" w:pos="860"/>
          <w:tab w:val="left" w:pos="6030"/>
        </w:tabs>
        <w:ind w:right="220" w:firstLine="0"/>
        <w:rPr>
          <w:sz w:val="24"/>
        </w:rPr>
      </w:pPr>
    </w:p>
    <w:p w14:paraId="633A0025" w14:textId="3E990165" w:rsidR="00F912D4" w:rsidRDefault="001F5266" w:rsidP="009C1791">
      <w:pPr>
        <w:pStyle w:val="ListParagraph"/>
        <w:tabs>
          <w:tab w:val="left" w:pos="859"/>
          <w:tab w:val="left" w:pos="860"/>
          <w:tab w:val="left" w:pos="6030"/>
        </w:tabs>
        <w:ind w:right="220" w:firstLine="0"/>
        <w:rPr>
          <w:color w:val="265EAC"/>
          <w:sz w:val="24"/>
        </w:rPr>
      </w:pPr>
      <w:r>
        <w:rPr>
          <w:color w:val="265EAC"/>
          <w:sz w:val="24"/>
        </w:rPr>
        <w:t xml:space="preserve">Yes, this characterization considers the </w:t>
      </w:r>
      <w:r w:rsidR="00243170">
        <w:rPr>
          <w:color w:val="265EAC"/>
          <w:sz w:val="24"/>
        </w:rPr>
        <w:t xml:space="preserve">energy use of the </w:t>
      </w:r>
      <w:r>
        <w:rPr>
          <w:color w:val="265EAC"/>
          <w:sz w:val="24"/>
        </w:rPr>
        <w:t xml:space="preserve">water heater being replaced; Table 18 provides formulas for baseline efficiency based on water heater fuel and tank volume. </w:t>
      </w:r>
      <w:r w:rsidR="00243170">
        <w:rPr>
          <w:color w:val="265EAC"/>
          <w:sz w:val="24"/>
        </w:rPr>
        <w:t>We</w:t>
      </w:r>
      <w:r>
        <w:rPr>
          <w:color w:val="265EAC"/>
          <w:sz w:val="24"/>
        </w:rPr>
        <w:t xml:space="preserve"> did not include on-demand water heaters in our first iteration of this measure</w:t>
      </w:r>
      <w:r w:rsidR="00243170">
        <w:rPr>
          <w:color w:val="265EAC"/>
          <w:sz w:val="24"/>
        </w:rPr>
        <w:t xml:space="preserve"> but will add these for the final draft</w:t>
      </w:r>
      <w:r>
        <w:rPr>
          <w:color w:val="265EAC"/>
          <w:sz w:val="24"/>
        </w:rPr>
        <w:t xml:space="preserve">. </w:t>
      </w:r>
    </w:p>
    <w:p w14:paraId="175E5B1B" w14:textId="77777777" w:rsidR="00FC1D87" w:rsidRDefault="00FC1D87" w:rsidP="009C1791">
      <w:pPr>
        <w:pStyle w:val="ListParagraph"/>
        <w:tabs>
          <w:tab w:val="left" w:pos="859"/>
          <w:tab w:val="left" w:pos="860"/>
          <w:tab w:val="left" w:pos="6030"/>
        </w:tabs>
        <w:ind w:right="220" w:firstLine="0"/>
        <w:rPr>
          <w:color w:val="265EAC"/>
          <w:sz w:val="24"/>
        </w:rPr>
      </w:pPr>
    </w:p>
    <w:p w14:paraId="5478106E" w14:textId="18E06943" w:rsidR="00FC1D87" w:rsidRPr="00FC1D87" w:rsidRDefault="00FC1D87" w:rsidP="009C1791">
      <w:pPr>
        <w:pStyle w:val="ListParagraph"/>
        <w:tabs>
          <w:tab w:val="left" w:pos="859"/>
          <w:tab w:val="left" w:pos="860"/>
          <w:tab w:val="left" w:pos="6030"/>
        </w:tabs>
        <w:ind w:right="220" w:firstLine="0"/>
        <w:rPr>
          <w:color w:val="FF0000"/>
          <w:sz w:val="24"/>
        </w:rPr>
      </w:pPr>
      <w:r>
        <w:rPr>
          <w:color w:val="FF0000"/>
          <w:sz w:val="24"/>
        </w:rPr>
        <w:t>TAG: OK.</w:t>
      </w:r>
    </w:p>
    <w:p w14:paraId="3399D223" w14:textId="77777777" w:rsidR="009C1791" w:rsidRPr="009C1791" w:rsidRDefault="009C1791" w:rsidP="009C1791">
      <w:pPr>
        <w:tabs>
          <w:tab w:val="left" w:pos="859"/>
          <w:tab w:val="left" w:pos="860"/>
          <w:tab w:val="left" w:pos="6030"/>
        </w:tabs>
        <w:ind w:right="220"/>
        <w:rPr>
          <w:sz w:val="24"/>
        </w:rPr>
      </w:pPr>
    </w:p>
    <w:p w14:paraId="17EA03DE" w14:textId="77777777" w:rsidR="009C1791" w:rsidRDefault="00D613E2" w:rsidP="00420D2B">
      <w:pPr>
        <w:pStyle w:val="ListParagraph"/>
        <w:numPr>
          <w:ilvl w:val="0"/>
          <w:numId w:val="1"/>
        </w:numPr>
        <w:tabs>
          <w:tab w:val="left" w:pos="860"/>
        </w:tabs>
        <w:ind w:right="310"/>
        <w:jc w:val="both"/>
        <w:rPr>
          <w:sz w:val="24"/>
        </w:rPr>
      </w:pPr>
      <w:r>
        <w:rPr>
          <w:sz w:val="24"/>
        </w:rPr>
        <w:t xml:space="preserve">Do the calculations account for the fact that heat pump water heaters typically must be larger than a standard water heater </w:t>
      </w:r>
      <w:proofErr w:type="gramStart"/>
      <w:r>
        <w:rPr>
          <w:sz w:val="24"/>
        </w:rPr>
        <w:t>in order to</w:t>
      </w:r>
      <w:proofErr w:type="gramEnd"/>
      <w:r>
        <w:rPr>
          <w:sz w:val="24"/>
        </w:rPr>
        <w:t xml:space="preserve"> meet the same level of demand (it’s not a 1:1 size</w:t>
      </w:r>
      <w:r>
        <w:rPr>
          <w:spacing w:val="-2"/>
          <w:sz w:val="24"/>
        </w:rPr>
        <w:t xml:space="preserve"> </w:t>
      </w:r>
      <w:r>
        <w:rPr>
          <w:sz w:val="24"/>
        </w:rPr>
        <w:t>replacement)?</w:t>
      </w:r>
      <w:r w:rsidR="00243170">
        <w:rPr>
          <w:sz w:val="24"/>
        </w:rPr>
        <w:t xml:space="preserve"> </w:t>
      </w:r>
      <w:bookmarkStart w:id="0" w:name="_Hlk171671622"/>
    </w:p>
    <w:p w14:paraId="15F26B84" w14:textId="77777777" w:rsidR="009C1791" w:rsidRDefault="009C1791" w:rsidP="009C1791">
      <w:pPr>
        <w:pStyle w:val="ListParagraph"/>
        <w:tabs>
          <w:tab w:val="left" w:pos="860"/>
        </w:tabs>
        <w:ind w:right="310" w:firstLine="0"/>
        <w:jc w:val="both"/>
        <w:rPr>
          <w:sz w:val="24"/>
        </w:rPr>
      </w:pPr>
    </w:p>
    <w:p w14:paraId="432487AC" w14:textId="07A311E6" w:rsidR="00F912D4" w:rsidRDefault="00D85DF7" w:rsidP="009C1791">
      <w:pPr>
        <w:pStyle w:val="ListParagraph"/>
        <w:tabs>
          <w:tab w:val="left" w:pos="860"/>
        </w:tabs>
        <w:ind w:right="310" w:firstLine="0"/>
        <w:jc w:val="both"/>
        <w:rPr>
          <w:color w:val="265EAC"/>
          <w:sz w:val="24"/>
        </w:rPr>
      </w:pPr>
      <w:r>
        <w:rPr>
          <w:color w:val="265EAC"/>
          <w:sz w:val="24"/>
        </w:rPr>
        <w:t xml:space="preserve">By “size” we assume you are referring to the </w:t>
      </w:r>
      <w:r w:rsidR="00420D2B">
        <w:rPr>
          <w:color w:val="265EAC"/>
          <w:sz w:val="24"/>
        </w:rPr>
        <w:t xml:space="preserve">tank volume. </w:t>
      </w:r>
      <w:r w:rsidR="006752AA">
        <w:rPr>
          <w:color w:val="265EAC"/>
          <w:sz w:val="24"/>
        </w:rPr>
        <w:t xml:space="preserve">Tank size </w:t>
      </w:r>
      <w:r w:rsidR="00420D2B">
        <w:rPr>
          <w:color w:val="265EAC"/>
          <w:sz w:val="24"/>
        </w:rPr>
        <w:t xml:space="preserve">does not </w:t>
      </w:r>
      <w:r w:rsidR="006752AA">
        <w:rPr>
          <w:color w:val="265EAC"/>
          <w:sz w:val="24"/>
        </w:rPr>
        <w:t>directly relate to the energy consumption</w:t>
      </w:r>
      <w:r w:rsidR="00420D2B">
        <w:rPr>
          <w:color w:val="265EAC"/>
          <w:sz w:val="24"/>
        </w:rPr>
        <w:t xml:space="preserve">; a water heater’s energy consumption is directly proportional to hot water usage and inversely proportional to the water heater efficiency. Hot water usage is assumed to be the same in the baseline and efficient cases in our characterization. </w:t>
      </w:r>
      <w:r w:rsidR="006752AA">
        <w:rPr>
          <w:color w:val="265EAC"/>
          <w:sz w:val="24"/>
        </w:rPr>
        <w:t xml:space="preserve"> </w:t>
      </w:r>
      <w:r w:rsidR="00420D2B">
        <w:rPr>
          <w:color w:val="265EAC"/>
          <w:sz w:val="24"/>
        </w:rPr>
        <w:t xml:space="preserve">Tank size only comes into play in our characterization because the </w:t>
      </w:r>
      <w:r w:rsidR="00DE4393">
        <w:rPr>
          <w:color w:val="265EAC"/>
          <w:sz w:val="24"/>
        </w:rPr>
        <w:t>baseline water heater is assumed to be a new unit meeting the</w:t>
      </w:r>
      <w:r w:rsidR="008E0774">
        <w:rPr>
          <w:color w:val="265EAC"/>
          <w:sz w:val="24"/>
        </w:rPr>
        <w:t xml:space="preserve"> </w:t>
      </w:r>
      <w:r w:rsidR="00DE4393">
        <w:rPr>
          <w:color w:val="265EAC"/>
          <w:sz w:val="24"/>
        </w:rPr>
        <w:t>CFR minimum efficiency standard</w:t>
      </w:r>
      <w:r w:rsidR="00420D2B">
        <w:rPr>
          <w:color w:val="265EAC"/>
          <w:sz w:val="24"/>
        </w:rPr>
        <w:t xml:space="preserve">; </w:t>
      </w:r>
      <w:r w:rsidR="00DE4393">
        <w:rPr>
          <w:color w:val="265EAC"/>
          <w:sz w:val="24"/>
        </w:rPr>
        <w:t xml:space="preserve">for </w:t>
      </w:r>
      <w:r w:rsidR="006752AA">
        <w:rPr>
          <w:color w:val="265EAC"/>
          <w:sz w:val="24"/>
        </w:rPr>
        <w:t xml:space="preserve">storage </w:t>
      </w:r>
      <w:r w:rsidR="00DE4393">
        <w:rPr>
          <w:color w:val="265EAC"/>
          <w:sz w:val="24"/>
        </w:rPr>
        <w:t>water heaters</w:t>
      </w:r>
      <w:r w:rsidR="008E0774">
        <w:rPr>
          <w:color w:val="265EAC"/>
          <w:sz w:val="24"/>
        </w:rPr>
        <w:t xml:space="preserve">, </w:t>
      </w:r>
      <w:r w:rsidR="00420D2B">
        <w:rPr>
          <w:color w:val="265EAC"/>
          <w:sz w:val="24"/>
        </w:rPr>
        <w:t xml:space="preserve">the CFR standard is a formula based on tank size </w:t>
      </w:r>
      <w:r w:rsidR="00DE4393">
        <w:rPr>
          <w:color w:val="265EAC"/>
          <w:sz w:val="24"/>
        </w:rPr>
        <w:t xml:space="preserve">(see Table 18 in the Heat Pump Water Heater Characterization). </w:t>
      </w:r>
      <w:r w:rsidR="008E0774">
        <w:rPr>
          <w:color w:val="265EAC"/>
          <w:sz w:val="24"/>
        </w:rPr>
        <w:t>The efficient unit is assumed to be a new heat pump water heater on the</w:t>
      </w:r>
      <w:r w:rsidR="00DE4393">
        <w:rPr>
          <w:color w:val="265EAC"/>
          <w:sz w:val="24"/>
        </w:rPr>
        <w:t xml:space="preserve"> </w:t>
      </w:r>
      <w:r w:rsidR="00DE4393" w:rsidRPr="00DE4393">
        <w:rPr>
          <w:color w:val="265EAC"/>
          <w:sz w:val="24"/>
        </w:rPr>
        <w:t>NEEA Northern Climate Specification</w:t>
      </w:r>
      <w:r w:rsidR="008E0774">
        <w:rPr>
          <w:color w:val="265EAC"/>
          <w:sz w:val="24"/>
        </w:rPr>
        <w:t xml:space="preserve"> qualified products </w:t>
      </w:r>
      <w:r w:rsidR="00DE4393">
        <w:rPr>
          <w:color w:val="265EAC"/>
          <w:sz w:val="24"/>
        </w:rPr>
        <w:t xml:space="preserve">list. </w:t>
      </w:r>
      <w:bookmarkEnd w:id="0"/>
      <w:r w:rsidR="00DE4393">
        <w:rPr>
          <w:color w:val="265EAC"/>
          <w:sz w:val="24"/>
        </w:rPr>
        <w:t>Th</w:t>
      </w:r>
      <w:r w:rsidR="00420D2B">
        <w:rPr>
          <w:color w:val="265EAC"/>
          <w:sz w:val="24"/>
        </w:rPr>
        <w:t xml:space="preserve">e NEEA specification </w:t>
      </w:r>
      <w:r w:rsidR="008E0774">
        <w:rPr>
          <w:color w:val="265EAC"/>
          <w:sz w:val="24"/>
        </w:rPr>
        <w:t xml:space="preserve">provides Cold Climate Efficiency (CCE) ratings that </w:t>
      </w:r>
      <w:r w:rsidR="006752AA">
        <w:rPr>
          <w:color w:val="265EAC"/>
          <w:sz w:val="24"/>
        </w:rPr>
        <w:t xml:space="preserve">are not based on </w:t>
      </w:r>
      <w:r w:rsidR="008E0774">
        <w:rPr>
          <w:color w:val="265EAC"/>
          <w:sz w:val="24"/>
        </w:rPr>
        <w:t>tank size.</w:t>
      </w:r>
    </w:p>
    <w:p w14:paraId="5ED281FE" w14:textId="77777777" w:rsidR="00FC1D87" w:rsidRDefault="00FC1D87" w:rsidP="009C1791">
      <w:pPr>
        <w:pStyle w:val="ListParagraph"/>
        <w:tabs>
          <w:tab w:val="left" w:pos="860"/>
        </w:tabs>
        <w:ind w:right="310" w:firstLine="0"/>
        <w:jc w:val="both"/>
        <w:rPr>
          <w:color w:val="265EAC"/>
          <w:sz w:val="24"/>
        </w:rPr>
      </w:pPr>
    </w:p>
    <w:p w14:paraId="2A7F4ACA" w14:textId="38B50F6A" w:rsidR="00FC1D87" w:rsidRPr="00FC1D87" w:rsidRDefault="00FC1D87" w:rsidP="009C1791">
      <w:pPr>
        <w:pStyle w:val="ListParagraph"/>
        <w:tabs>
          <w:tab w:val="left" w:pos="860"/>
        </w:tabs>
        <w:ind w:right="310" w:firstLine="0"/>
        <w:jc w:val="both"/>
        <w:rPr>
          <w:color w:val="FF0000"/>
          <w:sz w:val="24"/>
        </w:rPr>
      </w:pPr>
      <w:r>
        <w:rPr>
          <w:color w:val="FF0000"/>
          <w:sz w:val="24"/>
        </w:rPr>
        <w:t>TAG: OK.</w:t>
      </w:r>
    </w:p>
    <w:p w14:paraId="6B75B177" w14:textId="77777777" w:rsidR="00F912D4" w:rsidRDefault="00F912D4">
      <w:pPr>
        <w:pStyle w:val="BodyText"/>
        <w:spacing w:before="1"/>
        <w:ind w:left="0" w:firstLine="0"/>
      </w:pPr>
    </w:p>
    <w:p w14:paraId="1D261639" w14:textId="77777777" w:rsidR="00F912D4" w:rsidRDefault="00D613E2">
      <w:pPr>
        <w:pStyle w:val="Heading1"/>
        <w:spacing w:line="269" w:lineRule="exact"/>
        <w:jc w:val="both"/>
      </w:pPr>
      <w:r>
        <w:t>Residential low-flow faucet aerators</w:t>
      </w:r>
    </w:p>
    <w:p w14:paraId="51951EBA" w14:textId="77777777" w:rsidR="009C1791" w:rsidRDefault="00D613E2">
      <w:pPr>
        <w:pStyle w:val="ListParagraph"/>
        <w:numPr>
          <w:ilvl w:val="0"/>
          <w:numId w:val="1"/>
        </w:numPr>
        <w:tabs>
          <w:tab w:val="left" w:pos="860"/>
        </w:tabs>
        <w:ind w:right="575"/>
        <w:jc w:val="both"/>
        <w:rPr>
          <w:sz w:val="24"/>
        </w:rPr>
      </w:pPr>
      <w:r>
        <w:rPr>
          <w:sz w:val="24"/>
        </w:rPr>
        <w:t>Does aeration reduce the thermal capacity of the water by injecting more air into the water and therefore requiring more energy to achieve desired temperatures or does it simply reduce the flow of</w:t>
      </w:r>
      <w:r>
        <w:rPr>
          <w:spacing w:val="-2"/>
          <w:sz w:val="24"/>
        </w:rPr>
        <w:t xml:space="preserve"> </w:t>
      </w:r>
      <w:r>
        <w:rPr>
          <w:sz w:val="24"/>
        </w:rPr>
        <w:t>water?</w:t>
      </w:r>
      <w:r w:rsidR="00366D6F">
        <w:rPr>
          <w:sz w:val="24"/>
        </w:rPr>
        <w:t xml:space="preserve"> </w:t>
      </w:r>
    </w:p>
    <w:p w14:paraId="0CF4212C" w14:textId="77777777" w:rsidR="009C1791" w:rsidRDefault="009C1791" w:rsidP="009C1791">
      <w:pPr>
        <w:pStyle w:val="ListParagraph"/>
        <w:tabs>
          <w:tab w:val="left" w:pos="860"/>
        </w:tabs>
        <w:ind w:right="575" w:firstLine="0"/>
        <w:jc w:val="both"/>
        <w:rPr>
          <w:sz w:val="24"/>
        </w:rPr>
      </w:pPr>
    </w:p>
    <w:p w14:paraId="592F4313" w14:textId="60C8A879" w:rsidR="00F912D4" w:rsidRDefault="00CE181D" w:rsidP="009C1791">
      <w:pPr>
        <w:pStyle w:val="ListParagraph"/>
        <w:tabs>
          <w:tab w:val="left" w:pos="860"/>
        </w:tabs>
        <w:ind w:right="575" w:firstLine="0"/>
        <w:jc w:val="both"/>
        <w:rPr>
          <w:color w:val="265EAC"/>
          <w:sz w:val="24"/>
        </w:rPr>
      </w:pPr>
      <w:r>
        <w:rPr>
          <w:color w:val="265EAC"/>
          <w:sz w:val="24"/>
        </w:rPr>
        <w:t>We are not aware of the effect that is described. Low flow aerators directly reduce the flow of water resulting in a reduction of hot water usage and thus thermal energy. O</w:t>
      </w:r>
      <w:r w:rsidR="006752AA">
        <w:rPr>
          <w:color w:val="265EAC"/>
          <w:sz w:val="24"/>
        </w:rPr>
        <w:t>ur characterization is consistent with</w:t>
      </w:r>
      <w:r>
        <w:rPr>
          <w:color w:val="265EAC"/>
          <w:sz w:val="24"/>
        </w:rPr>
        <w:t xml:space="preserve"> TRM characterizations in Vermont and industry wide.</w:t>
      </w:r>
    </w:p>
    <w:p w14:paraId="19A5F26A" w14:textId="77777777" w:rsidR="00FC1D87" w:rsidRDefault="00FC1D87" w:rsidP="009C1791">
      <w:pPr>
        <w:pStyle w:val="ListParagraph"/>
        <w:tabs>
          <w:tab w:val="left" w:pos="860"/>
        </w:tabs>
        <w:ind w:right="575" w:firstLine="0"/>
        <w:jc w:val="both"/>
        <w:rPr>
          <w:color w:val="265EAC"/>
          <w:sz w:val="24"/>
        </w:rPr>
      </w:pPr>
    </w:p>
    <w:p w14:paraId="6547D42A" w14:textId="3C53A7D0" w:rsidR="00FC1D87" w:rsidRPr="00FC1D87" w:rsidRDefault="00FC1D87" w:rsidP="009C1791">
      <w:pPr>
        <w:pStyle w:val="ListParagraph"/>
        <w:tabs>
          <w:tab w:val="left" w:pos="860"/>
        </w:tabs>
        <w:ind w:right="575" w:firstLine="0"/>
        <w:jc w:val="both"/>
        <w:rPr>
          <w:color w:val="FF0000"/>
          <w:sz w:val="24"/>
        </w:rPr>
      </w:pPr>
      <w:r>
        <w:rPr>
          <w:color w:val="FF0000"/>
          <w:sz w:val="24"/>
        </w:rPr>
        <w:t>TAG: OK.</w:t>
      </w:r>
    </w:p>
    <w:p w14:paraId="052D1CDA" w14:textId="77777777" w:rsidR="00F912D4" w:rsidRDefault="00F912D4">
      <w:pPr>
        <w:pStyle w:val="BodyText"/>
        <w:spacing w:before="10"/>
        <w:ind w:left="0" w:firstLine="0"/>
        <w:rPr>
          <w:sz w:val="23"/>
        </w:rPr>
      </w:pPr>
    </w:p>
    <w:p w14:paraId="2EB88EB8" w14:textId="77777777" w:rsidR="00F912D4" w:rsidRDefault="00D613E2">
      <w:pPr>
        <w:pStyle w:val="Heading1"/>
        <w:spacing w:line="269" w:lineRule="exact"/>
        <w:jc w:val="both"/>
      </w:pPr>
      <w:r>
        <w:t>Residential low-flow showerheads</w:t>
      </w:r>
    </w:p>
    <w:p w14:paraId="7947F32B" w14:textId="77777777" w:rsidR="00F912D4" w:rsidRDefault="00D613E2">
      <w:pPr>
        <w:pStyle w:val="ListParagraph"/>
        <w:numPr>
          <w:ilvl w:val="0"/>
          <w:numId w:val="1"/>
        </w:numPr>
        <w:tabs>
          <w:tab w:val="left" w:pos="859"/>
          <w:tab w:val="left" w:pos="860"/>
        </w:tabs>
        <w:spacing w:line="303" w:lineRule="exact"/>
        <w:rPr>
          <w:sz w:val="24"/>
        </w:rPr>
      </w:pPr>
      <w:r>
        <w:rPr>
          <w:sz w:val="24"/>
        </w:rPr>
        <w:t>[Same questions as for low-flow faucet</w:t>
      </w:r>
      <w:r>
        <w:rPr>
          <w:spacing w:val="-4"/>
          <w:sz w:val="24"/>
        </w:rPr>
        <w:t xml:space="preserve"> </w:t>
      </w:r>
      <w:r>
        <w:rPr>
          <w:sz w:val="24"/>
        </w:rPr>
        <w:t>aerators]</w:t>
      </w:r>
    </w:p>
    <w:p w14:paraId="3BBA3220" w14:textId="77777777" w:rsidR="00FC1D87" w:rsidRDefault="00FC1D87" w:rsidP="00FC1D87">
      <w:pPr>
        <w:tabs>
          <w:tab w:val="left" w:pos="859"/>
          <w:tab w:val="left" w:pos="860"/>
        </w:tabs>
        <w:spacing w:line="303" w:lineRule="exact"/>
        <w:rPr>
          <w:sz w:val="24"/>
        </w:rPr>
      </w:pPr>
    </w:p>
    <w:p w14:paraId="09444EA6" w14:textId="0D55F053" w:rsidR="00FC1D87" w:rsidRPr="00FC1D87" w:rsidRDefault="00FC1D87" w:rsidP="00FC1D87">
      <w:pPr>
        <w:tabs>
          <w:tab w:val="left" w:pos="859"/>
          <w:tab w:val="left" w:pos="860"/>
        </w:tabs>
        <w:spacing w:line="303" w:lineRule="exact"/>
        <w:ind w:left="860"/>
        <w:rPr>
          <w:color w:val="FF0000"/>
          <w:sz w:val="24"/>
        </w:rPr>
      </w:pPr>
      <w:r>
        <w:rPr>
          <w:color w:val="FF0000"/>
          <w:sz w:val="24"/>
        </w:rPr>
        <w:t>TAG: OK.</w:t>
      </w:r>
    </w:p>
    <w:p w14:paraId="5848C004" w14:textId="77777777" w:rsidR="00F912D4" w:rsidRDefault="00F912D4">
      <w:pPr>
        <w:pStyle w:val="BodyText"/>
        <w:spacing w:before="2"/>
        <w:ind w:left="0" w:firstLine="0"/>
      </w:pPr>
    </w:p>
    <w:p w14:paraId="79FB3BFB" w14:textId="77777777" w:rsidR="00F912D4" w:rsidRDefault="00D613E2">
      <w:pPr>
        <w:pStyle w:val="Heading1"/>
        <w:spacing w:before="1" w:line="269" w:lineRule="exact"/>
      </w:pPr>
      <w:r>
        <w:lastRenderedPageBreak/>
        <w:t>Residential induction stove tops</w:t>
      </w:r>
    </w:p>
    <w:p w14:paraId="553F492F" w14:textId="77777777" w:rsidR="009C1791" w:rsidRDefault="00D613E2">
      <w:pPr>
        <w:pStyle w:val="ListParagraph"/>
        <w:numPr>
          <w:ilvl w:val="0"/>
          <w:numId w:val="1"/>
        </w:numPr>
        <w:tabs>
          <w:tab w:val="left" w:pos="859"/>
          <w:tab w:val="left" w:pos="860"/>
        </w:tabs>
        <w:ind w:right="200"/>
        <w:rPr>
          <w:sz w:val="24"/>
        </w:rPr>
      </w:pPr>
      <w:r>
        <w:rPr>
          <w:sz w:val="24"/>
        </w:rPr>
        <w:t xml:space="preserve">There is some confusion about whether gas for cooking is considered “thermal” under Act 18. The RCI definition includes all uses of fossil fuels, but earlier guidance from PUC staff to a TAG member indicated that cooking and back-up power generation were considered non-thermal and should </w:t>
      </w:r>
      <w:r>
        <w:rPr>
          <w:b/>
          <w:sz w:val="24"/>
        </w:rPr>
        <w:t xml:space="preserve">not </w:t>
      </w:r>
      <w:r>
        <w:rPr>
          <w:sz w:val="24"/>
        </w:rPr>
        <w:t>be included in the registry. Please clarify what guidance PUC has provided OD on this</w:t>
      </w:r>
      <w:r>
        <w:rPr>
          <w:spacing w:val="-3"/>
          <w:sz w:val="24"/>
        </w:rPr>
        <w:t xml:space="preserve"> </w:t>
      </w:r>
      <w:r>
        <w:rPr>
          <w:sz w:val="24"/>
        </w:rPr>
        <w:t>issue.</w:t>
      </w:r>
      <w:r w:rsidR="00CE181D">
        <w:rPr>
          <w:sz w:val="24"/>
        </w:rPr>
        <w:t xml:space="preserve"> </w:t>
      </w:r>
    </w:p>
    <w:p w14:paraId="06DC44E5" w14:textId="77777777" w:rsidR="009C1791" w:rsidRDefault="009C1791" w:rsidP="009C1791">
      <w:pPr>
        <w:pStyle w:val="ListParagraph"/>
        <w:tabs>
          <w:tab w:val="left" w:pos="859"/>
          <w:tab w:val="left" w:pos="860"/>
        </w:tabs>
        <w:ind w:right="200" w:firstLine="0"/>
        <w:rPr>
          <w:sz w:val="24"/>
        </w:rPr>
      </w:pPr>
    </w:p>
    <w:p w14:paraId="2AD145C3" w14:textId="77777777" w:rsidR="00FC1D87" w:rsidRDefault="00CE181D" w:rsidP="009C1791">
      <w:pPr>
        <w:pStyle w:val="ListParagraph"/>
        <w:tabs>
          <w:tab w:val="left" w:pos="859"/>
          <w:tab w:val="left" w:pos="860"/>
        </w:tabs>
        <w:ind w:right="200" w:firstLine="0"/>
        <w:rPr>
          <w:color w:val="265EAC"/>
          <w:sz w:val="24"/>
        </w:rPr>
      </w:pPr>
      <w:r>
        <w:rPr>
          <w:color w:val="265EAC"/>
          <w:sz w:val="24"/>
        </w:rPr>
        <w:t xml:space="preserve">We do not recall specific guidance from the PUC on this issue. We included induction stove tops because they were included in the measure list for the clean heat potential study. We shared our intended measure list with the </w:t>
      </w:r>
      <w:r w:rsidR="00733E54">
        <w:rPr>
          <w:color w:val="265EAC"/>
          <w:sz w:val="24"/>
        </w:rPr>
        <w:t xml:space="preserve">PUC on April </w:t>
      </w:r>
      <w:proofErr w:type="gramStart"/>
      <w:r w:rsidR="00733E54">
        <w:rPr>
          <w:color w:val="265EAC"/>
          <w:sz w:val="24"/>
        </w:rPr>
        <w:t>22</w:t>
      </w:r>
      <w:r w:rsidR="00733E54" w:rsidRPr="00733E54">
        <w:rPr>
          <w:color w:val="265EAC"/>
          <w:sz w:val="24"/>
          <w:vertAlign w:val="superscript"/>
        </w:rPr>
        <w:t>nd</w:t>
      </w:r>
      <w:proofErr w:type="gramEnd"/>
      <w:r w:rsidR="00733E54">
        <w:rPr>
          <w:color w:val="265EAC"/>
          <w:sz w:val="24"/>
        </w:rPr>
        <w:t xml:space="preserve"> and it was distributed to the TAG on April 29</w:t>
      </w:r>
      <w:r w:rsidR="00733E54" w:rsidRPr="00733E54">
        <w:rPr>
          <w:color w:val="265EAC"/>
          <w:sz w:val="24"/>
          <w:vertAlign w:val="superscript"/>
        </w:rPr>
        <w:t>th</w:t>
      </w:r>
      <w:r w:rsidR="00733E54">
        <w:rPr>
          <w:color w:val="265EAC"/>
          <w:sz w:val="24"/>
        </w:rPr>
        <w:t xml:space="preserve">. We </w:t>
      </w:r>
      <w:r w:rsidR="00807F1C">
        <w:rPr>
          <w:color w:val="265EAC"/>
          <w:sz w:val="24"/>
        </w:rPr>
        <w:t>understand that the PUC intends to provide guidance on this issue.</w:t>
      </w:r>
      <w:r>
        <w:rPr>
          <w:color w:val="265EAC"/>
          <w:sz w:val="24"/>
        </w:rPr>
        <w:t xml:space="preserve"> </w:t>
      </w:r>
    </w:p>
    <w:p w14:paraId="50A3A429" w14:textId="77777777" w:rsidR="00FC1D87" w:rsidRDefault="00FC1D87" w:rsidP="009C1791">
      <w:pPr>
        <w:pStyle w:val="ListParagraph"/>
        <w:tabs>
          <w:tab w:val="left" w:pos="859"/>
          <w:tab w:val="left" w:pos="860"/>
        </w:tabs>
        <w:ind w:right="200" w:firstLine="0"/>
        <w:rPr>
          <w:color w:val="265EAC"/>
          <w:sz w:val="24"/>
        </w:rPr>
      </w:pPr>
    </w:p>
    <w:p w14:paraId="363906EB" w14:textId="64DF7051" w:rsidR="00F912D4" w:rsidRDefault="00FC1D87" w:rsidP="009C1791">
      <w:pPr>
        <w:pStyle w:val="ListParagraph"/>
        <w:tabs>
          <w:tab w:val="left" w:pos="859"/>
          <w:tab w:val="left" w:pos="860"/>
        </w:tabs>
        <w:ind w:right="200" w:firstLine="0"/>
        <w:rPr>
          <w:color w:val="265EAC"/>
          <w:sz w:val="24"/>
        </w:rPr>
      </w:pPr>
      <w:r>
        <w:rPr>
          <w:color w:val="FF0000"/>
          <w:sz w:val="24"/>
        </w:rPr>
        <w:t>TAG: OK. It appears that induction stove tops will be considered clean heat me</w:t>
      </w:r>
      <w:r w:rsidRPr="00FC1D87">
        <w:rPr>
          <w:color w:val="FF0000"/>
          <w:sz w:val="24"/>
        </w:rPr>
        <w:t xml:space="preserve">asures, </w:t>
      </w:r>
      <w:r>
        <w:rPr>
          <w:color w:val="FF0000"/>
          <w:sz w:val="24"/>
        </w:rPr>
        <w:t>but we await PUC clarification.</w:t>
      </w:r>
    </w:p>
    <w:p w14:paraId="33824396" w14:textId="77777777" w:rsidR="009C1791" w:rsidRDefault="009C1791" w:rsidP="009C1791">
      <w:pPr>
        <w:pStyle w:val="ListParagraph"/>
        <w:tabs>
          <w:tab w:val="left" w:pos="859"/>
          <w:tab w:val="left" w:pos="860"/>
        </w:tabs>
        <w:ind w:right="200" w:firstLine="0"/>
        <w:rPr>
          <w:sz w:val="24"/>
        </w:rPr>
      </w:pPr>
    </w:p>
    <w:p w14:paraId="4E2D78AC" w14:textId="77777777" w:rsidR="009C1791" w:rsidRDefault="00D613E2">
      <w:pPr>
        <w:pStyle w:val="ListParagraph"/>
        <w:numPr>
          <w:ilvl w:val="0"/>
          <w:numId w:val="1"/>
        </w:numPr>
        <w:tabs>
          <w:tab w:val="left" w:pos="859"/>
          <w:tab w:val="left" w:pos="860"/>
        </w:tabs>
        <w:spacing w:before="1"/>
        <w:ind w:right="145"/>
        <w:rPr>
          <w:sz w:val="24"/>
        </w:rPr>
      </w:pPr>
      <w:r>
        <w:rPr>
          <w:sz w:val="24"/>
        </w:rPr>
        <w:t>Measure cost is given here, as it is for the other measures. Is there a particular reason that it’s</w:t>
      </w:r>
      <w:r>
        <w:rPr>
          <w:spacing w:val="-2"/>
          <w:sz w:val="24"/>
        </w:rPr>
        <w:t xml:space="preserve"> </w:t>
      </w:r>
      <w:r>
        <w:rPr>
          <w:sz w:val="24"/>
        </w:rPr>
        <w:t>included?</w:t>
      </w:r>
      <w:r w:rsidR="00733E54">
        <w:rPr>
          <w:sz w:val="24"/>
        </w:rPr>
        <w:t xml:space="preserve"> </w:t>
      </w:r>
    </w:p>
    <w:p w14:paraId="44CB2D3A" w14:textId="2767A4E4" w:rsidR="00F912D4" w:rsidRDefault="00733E54" w:rsidP="009C1791">
      <w:pPr>
        <w:pStyle w:val="ListParagraph"/>
        <w:tabs>
          <w:tab w:val="left" w:pos="859"/>
          <w:tab w:val="left" w:pos="860"/>
        </w:tabs>
        <w:spacing w:before="1"/>
        <w:ind w:right="145" w:firstLine="0"/>
        <w:rPr>
          <w:color w:val="265EAC"/>
          <w:sz w:val="24"/>
        </w:rPr>
      </w:pPr>
      <w:r>
        <w:rPr>
          <w:color w:val="265EAC"/>
          <w:sz w:val="24"/>
        </w:rPr>
        <w:t>We discussed whether we should include measure costs in clean measure characterizations with PUC staff in early meetings. Staff suggested including costs to allow for cost-effectiveness analysis. Therefore, we have been including measure costs where readily available, drawing from secondary sources. However, the primary focus of our work is characterizing the carbon and energy impacts.</w:t>
      </w:r>
    </w:p>
    <w:p w14:paraId="625655AF" w14:textId="77777777" w:rsidR="00FC1D87" w:rsidRDefault="00FC1D87" w:rsidP="009C1791">
      <w:pPr>
        <w:pStyle w:val="ListParagraph"/>
        <w:tabs>
          <w:tab w:val="left" w:pos="859"/>
          <w:tab w:val="left" w:pos="860"/>
        </w:tabs>
        <w:spacing w:before="1"/>
        <w:ind w:right="145" w:firstLine="0"/>
        <w:rPr>
          <w:color w:val="265EAC"/>
          <w:sz w:val="24"/>
        </w:rPr>
      </w:pPr>
    </w:p>
    <w:p w14:paraId="242B86DA" w14:textId="46DDECAA" w:rsidR="00FC1D87" w:rsidRPr="00FC1D87" w:rsidRDefault="00FC1D87" w:rsidP="009C1791">
      <w:pPr>
        <w:pStyle w:val="ListParagraph"/>
        <w:tabs>
          <w:tab w:val="left" w:pos="859"/>
          <w:tab w:val="left" w:pos="860"/>
        </w:tabs>
        <w:spacing w:before="1"/>
        <w:ind w:right="145" w:firstLine="0"/>
        <w:rPr>
          <w:color w:val="FF0000"/>
          <w:sz w:val="24"/>
        </w:rPr>
      </w:pPr>
      <w:r>
        <w:rPr>
          <w:color w:val="FF0000"/>
          <w:sz w:val="24"/>
        </w:rPr>
        <w:t>TAG: OK.</w:t>
      </w:r>
    </w:p>
    <w:p w14:paraId="4192EB54" w14:textId="77777777" w:rsidR="00F912D4" w:rsidRDefault="00F912D4">
      <w:pPr>
        <w:pStyle w:val="BodyText"/>
        <w:spacing w:before="1"/>
        <w:ind w:left="0" w:firstLine="0"/>
      </w:pPr>
    </w:p>
    <w:p w14:paraId="3C5AC683" w14:textId="77777777" w:rsidR="00F912D4" w:rsidRDefault="00D613E2">
      <w:pPr>
        <w:pStyle w:val="Heading1"/>
        <w:spacing w:before="1"/>
        <w:ind w:right="494"/>
      </w:pPr>
      <w:r>
        <w:t>Commercial/Industrial Sector: Advanced thermostats, low-flow faucets, and low-flow showerheads</w:t>
      </w:r>
    </w:p>
    <w:p w14:paraId="017E76FF" w14:textId="77777777" w:rsidR="00F912D4" w:rsidRDefault="00D613E2">
      <w:pPr>
        <w:pStyle w:val="ListParagraph"/>
        <w:numPr>
          <w:ilvl w:val="0"/>
          <w:numId w:val="1"/>
        </w:numPr>
        <w:tabs>
          <w:tab w:val="left" w:pos="859"/>
          <w:tab w:val="left" w:pos="860"/>
        </w:tabs>
        <w:spacing w:line="301" w:lineRule="exact"/>
        <w:rPr>
          <w:sz w:val="24"/>
        </w:rPr>
      </w:pPr>
      <w:r>
        <w:rPr>
          <w:sz w:val="24"/>
        </w:rPr>
        <w:t>[Same questions as for the same residential</w:t>
      </w:r>
      <w:r>
        <w:rPr>
          <w:spacing w:val="-6"/>
          <w:sz w:val="24"/>
        </w:rPr>
        <w:t xml:space="preserve"> </w:t>
      </w:r>
      <w:r>
        <w:rPr>
          <w:sz w:val="24"/>
        </w:rPr>
        <w:t>measures]</w:t>
      </w:r>
    </w:p>
    <w:p w14:paraId="37EA919C" w14:textId="77777777" w:rsidR="00FC1D87" w:rsidRDefault="00FC1D87" w:rsidP="00FC1D87">
      <w:pPr>
        <w:tabs>
          <w:tab w:val="left" w:pos="859"/>
          <w:tab w:val="left" w:pos="860"/>
        </w:tabs>
        <w:spacing w:line="301" w:lineRule="exact"/>
        <w:rPr>
          <w:sz w:val="24"/>
        </w:rPr>
      </w:pPr>
    </w:p>
    <w:p w14:paraId="60B3CE24" w14:textId="5DEEAE80" w:rsidR="00FC1D87" w:rsidRDefault="00FC1D87" w:rsidP="00FC1D87">
      <w:pPr>
        <w:tabs>
          <w:tab w:val="left" w:pos="859"/>
          <w:tab w:val="left" w:pos="860"/>
        </w:tabs>
        <w:spacing w:line="301" w:lineRule="exact"/>
        <w:ind w:left="860"/>
        <w:rPr>
          <w:color w:val="FF0000"/>
          <w:sz w:val="24"/>
        </w:rPr>
      </w:pPr>
      <w:r>
        <w:rPr>
          <w:color w:val="FF0000"/>
          <w:sz w:val="24"/>
        </w:rPr>
        <w:t>TAG: OK.</w:t>
      </w:r>
    </w:p>
    <w:p w14:paraId="0030DCA0" w14:textId="77777777" w:rsidR="00FC1D87" w:rsidRDefault="00FC1D87" w:rsidP="00FC1D87">
      <w:pPr>
        <w:tabs>
          <w:tab w:val="left" w:pos="859"/>
          <w:tab w:val="left" w:pos="860"/>
        </w:tabs>
        <w:spacing w:line="301" w:lineRule="exact"/>
        <w:ind w:left="860"/>
        <w:rPr>
          <w:color w:val="FF0000"/>
          <w:sz w:val="24"/>
        </w:rPr>
      </w:pPr>
    </w:p>
    <w:p w14:paraId="1CC66874" w14:textId="77777777" w:rsidR="00F912D4" w:rsidRDefault="00D613E2">
      <w:pPr>
        <w:pStyle w:val="Heading1"/>
        <w:spacing w:before="110"/>
      </w:pPr>
      <w:r>
        <w:t>General</w:t>
      </w:r>
    </w:p>
    <w:p w14:paraId="307A0AD3" w14:textId="77777777" w:rsidR="009C1791" w:rsidRDefault="00D613E2">
      <w:pPr>
        <w:pStyle w:val="BodyText"/>
        <w:spacing w:before="3"/>
        <w:ind w:left="140" w:right="191" w:firstLine="0"/>
        <w:jc w:val="both"/>
      </w:pPr>
      <w:r>
        <w:t>Thank you for this opportunity to weigh in on measure characterizations. We encourage OD to take full advantage of the TAG’s expertise in these matters, as it continues to develop and refine its analyses. We hope that on Thursday OD will identify any matters that it would like the TAG to dig into now and provide more immediate input on (rather than waiting until a complete draft of the TRM is made available).</w:t>
      </w:r>
      <w:r w:rsidR="003D0F77">
        <w:t xml:space="preserve"> </w:t>
      </w:r>
    </w:p>
    <w:p w14:paraId="309384BE" w14:textId="77777777" w:rsidR="009C1791" w:rsidRDefault="009C1791">
      <w:pPr>
        <w:pStyle w:val="BodyText"/>
        <w:spacing w:before="3"/>
        <w:ind w:left="140" w:right="191" w:firstLine="0"/>
        <w:jc w:val="both"/>
      </w:pPr>
    </w:p>
    <w:p w14:paraId="02A1FAFE" w14:textId="54FE085C" w:rsidR="00F912D4" w:rsidRDefault="003D0F77">
      <w:pPr>
        <w:pStyle w:val="BodyText"/>
        <w:spacing w:before="3"/>
        <w:ind w:left="140" w:right="191" w:firstLine="0"/>
        <w:jc w:val="both"/>
        <w:rPr>
          <w:color w:val="265EAC"/>
        </w:rPr>
      </w:pPr>
      <w:r>
        <w:rPr>
          <w:color w:val="265EAC"/>
        </w:rPr>
        <w:t xml:space="preserve">Thank you. We have provided a specific list of questions </w:t>
      </w:r>
      <w:r w:rsidR="002C38EA">
        <w:rPr>
          <w:color w:val="265EAC"/>
        </w:rPr>
        <w:t xml:space="preserve">below </w:t>
      </w:r>
      <w:r>
        <w:rPr>
          <w:color w:val="265EAC"/>
        </w:rPr>
        <w:t>we would like the TAG’s input on at this time:</w:t>
      </w:r>
    </w:p>
    <w:p w14:paraId="563484AC" w14:textId="77777777" w:rsidR="003D0F77" w:rsidRDefault="003D0F77">
      <w:pPr>
        <w:pStyle w:val="BodyText"/>
        <w:spacing w:before="3"/>
        <w:ind w:left="140" w:right="191" w:firstLine="0"/>
        <w:jc w:val="both"/>
        <w:rPr>
          <w:color w:val="265EAC"/>
        </w:rPr>
      </w:pPr>
    </w:p>
    <w:p w14:paraId="27CFC073" w14:textId="3FD72A0D" w:rsidR="003D0F77" w:rsidRPr="003D0F77" w:rsidRDefault="003D0F77" w:rsidP="003D0F77">
      <w:pPr>
        <w:pStyle w:val="BodyText"/>
        <w:numPr>
          <w:ilvl w:val="0"/>
          <w:numId w:val="3"/>
        </w:numPr>
        <w:spacing w:before="3"/>
        <w:ind w:right="191"/>
        <w:jc w:val="both"/>
      </w:pPr>
      <w:r>
        <w:rPr>
          <w:color w:val="265EAC"/>
        </w:rPr>
        <w:t xml:space="preserve">What approach should we use for heating fuel inputs? We have listed </w:t>
      </w:r>
      <w:r w:rsidR="00846FF0">
        <w:rPr>
          <w:color w:val="265EAC"/>
        </w:rPr>
        <w:t xml:space="preserve">several </w:t>
      </w:r>
      <w:r>
        <w:rPr>
          <w:color w:val="265EAC"/>
        </w:rPr>
        <w:t>options below.</w:t>
      </w:r>
    </w:p>
    <w:p w14:paraId="56BC7A72" w14:textId="782031AD" w:rsidR="003D0F77" w:rsidRPr="003D0F77" w:rsidRDefault="002C38EA" w:rsidP="003D0F77">
      <w:pPr>
        <w:pStyle w:val="BodyText"/>
        <w:numPr>
          <w:ilvl w:val="1"/>
          <w:numId w:val="3"/>
        </w:numPr>
        <w:spacing w:before="3"/>
        <w:ind w:right="191"/>
        <w:jc w:val="both"/>
      </w:pPr>
      <w:r>
        <w:rPr>
          <w:color w:val="265EAC"/>
        </w:rPr>
        <w:t>Continue with our current approach: w</w:t>
      </w:r>
      <w:r w:rsidR="003D0F77">
        <w:rPr>
          <w:color w:val="265EAC"/>
        </w:rPr>
        <w:t>rite the characterizations to allow for either approach (average mix or site-specific input).</w:t>
      </w:r>
    </w:p>
    <w:p w14:paraId="1AA6B7AE" w14:textId="0D60C3CE" w:rsidR="003D0F77" w:rsidRPr="003D0F77" w:rsidRDefault="003D0F77" w:rsidP="003D0F77">
      <w:pPr>
        <w:pStyle w:val="BodyText"/>
        <w:numPr>
          <w:ilvl w:val="1"/>
          <w:numId w:val="3"/>
        </w:numPr>
        <w:spacing w:before="3"/>
        <w:ind w:right="191"/>
        <w:jc w:val="both"/>
      </w:pPr>
      <w:r>
        <w:rPr>
          <w:color w:val="265EAC"/>
        </w:rPr>
        <w:t>Devise an average fuel mix for all Residential measures, and one for all Commercial/Industrial measures. Write the characterizations to only use average fuel mixes.</w:t>
      </w:r>
    </w:p>
    <w:p w14:paraId="7544F95E" w14:textId="4D8B8E82" w:rsidR="003D0F77" w:rsidRPr="00846FF0" w:rsidRDefault="00846FF0" w:rsidP="003D0F77">
      <w:pPr>
        <w:pStyle w:val="BodyText"/>
        <w:numPr>
          <w:ilvl w:val="1"/>
          <w:numId w:val="3"/>
        </w:numPr>
        <w:spacing w:before="3"/>
        <w:ind w:right="191"/>
        <w:jc w:val="both"/>
      </w:pPr>
      <w:r>
        <w:rPr>
          <w:color w:val="265EAC"/>
        </w:rPr>
        <w:t>Write all characterizations to require the baseline fuel type to be collected.</w:t>
      </w:r>
    </w:p>
    <w:p w14:paraId="30EB45DC" w14:textId="703293E1" w:rsidR="00846FF0" w:rsidRPr="00846FF0" w:rsidRDefault="00846FF0" w:rsidP="003D0F77">
      <w:pPr>
        <w:pStyle w:val="BodyText"/>
        <w:numPr>
          <w:ilvl w:val="1"/>
          <w:numId w:val="3"/>
        </w:numPr>
        <w:spacing w:before="3"/>
        <w:ind w:right="191"/>
        <w:jc w:val="both"/>
      </w:pPr>
      <w:r>
        <w:rPr>
          <w:color w:val="265EAC"/>
        </w:rPr>
        <w:t>Require the fuel type to be collected only for measures involving fuel switching. All other measures would assume average fuel mixes.</w:t>
      </w:r>
    </w:p>
    <w:p w14:paraId="3960B49D" w14:textId="3CB3713B" w:rsidR="00846FF0" w:rsidRPr="003E40D3" w:rsidRDefault="00846FF0" w:rsidP="003D0F77">
      <w:pPr>
        <w:pStyle w:val="BodyText"/>
        <w:numPr>
          <w:ilvl w:val="1"/>
          <w:numId w:val="3"/>
        </w:numPr>
        <w:spacing w:before="3"/>
        <w:ind w:right="191"/>
        <w:jc w:val="both"/>
      </w:pPr>
      <w:r>
        <w:rPr>
          <w:color w:val="265EAC"/>
        </w:rPr>
        <w:lastRenderedPageBreak/>
        <w:t>Require the fuel type to be collected only for the highest impact measures; for example, the top 25% of savers as identified in the clean heat potential study.</w:t>
      </w:r>
    </w:p>
    <w:p w14:paraId="7CCCCA48" w14:textId="0A6EBDCB" w:rsidR="003E40D3" w:rsidRPr="00FC1D87" w:rsidRDefault="003E40D3" w:rsidP="003D0F77">
      <w:pPr>
        <w:pStyle w:val="BodyText"/>
        <w:numPr>
          <w:ilvl w:val="1"/>
          <w:numId w:val="3"/>
        </w:numPr>
        <w:spacing w:before="3"/>
        <w:ind w:right="191"/>
        <w:jc w:val="both"/>
      </w:pPr>
      <w:r>
        <w:rPr>
          <w:color w:val="265EAC"/>
        </w:rPr>
        <w:t>Other (please describe).</w:t>
      </w:r>
    </w:p>
    <w:p w14:paraId="61EE3F4F" w14:textId="77777777" w:rsidR="00FC1D87" w:rsidRDefault="00FC1D87" w:rsidP="00FC1D87">
      <w:pPr>
        <w:pStyle w:val="BodyText"/>
        <w:spacing w:before="3"/>
        <w:ind w:left="0" w:right="191" w:firstLine="0"/>
        <w:jc w:val="both"/>
        <w:rPr>
          <w:color w:val="265EAC"/>
        </w:rPr>
      </w:pPr>
    </w:p>
    <w:p w14:paraId="02E6A261" w14:textId="336263CC" w:rsidR="00FC1D87" w:rsidRPr="00FC1D87" w:rsidRDefault="00FC1D87" w:rsidP="00FC1D87">
      <w:pPr>
        <w:pStyle w:val="BodyText"/>
        <w:spacing w:before="3"/>
        <w:ind w:left="720" w:right="191" w:firstLine="0"/>
        <w:jc w:val="both"/>
        <w:rPr>
          <w:color w:val="FF0000"/>
        </w:rPr>
      </w:pPr>
      <w:r>
        <w:rPr>
          <w:color w:val="FF0000"/>
        </w:rPr>
        <w:t>TAG: The approach described in sub-bullet “a” provides the most flexibility for obligated parties. Refer also to our response to the first bullet (under “Building Envelope Measures”).</w:t>
      </w:r>
    </w:p>
    <w:p w14:paraId="11690F66" w14:textId="77777777" w:rsidR="00FC1D87" w:rsidRPr="003E40D3" w:rsidRDefault="00FC1D87" w:rsidP="00FC1D87">
      <w:pPr>
        <w:pStyle w:val="BodyText"/>
        <w:spacing w:before="3"/>
        <w:ind w:left="720" w:right="191" w:firstLine="0"/>
        <w:jc w:val="both"/>
      </w:pPr>
    </w:p>
    <w:p w14:paraId="1DDA583D" w14:textId="46A28D59" w:rsidR="003E40D3" w:rsidRPr="00FC1D87" w:rsidRDefault="003E40D3" w:rsidP="003E40D3">
      <w:pPr>
        <w:pStyle w:val="BodyText"/>
        <w:numPr>
          <w:ilvl w:val="0"/>
          <w:numId w:val="3"/>
        </w:numPr>
        <w:spacing w:before="3"/>
        <w:ind w:right="191"/>
        <w:jc w:val="both"/>
      </w:pPr>
      <w:r>
        <w:rPr>
          <w:color w:val="265EAC"/>
        </w:rPr>
        <w:t xml:space="preserve">Please review the accompanying Decarbonization Summary Table example and advise whether changes are needed. </w:t>
      </w:r>
    </w:p>
    <w:p w14:paraId="41C8B1A0" w14:textId="77777777" w:rsidR="00FC1D87" w:rsidRDefault="00FC1D87" w:rsidP="00FC1D87">
      <w:pPr>
        <w:pStyle w:val="BodyText"/>
        <w:spacing w:before="3"/>
        <w:ind w:right="191"/>
        <w:jc w:val="both"/>
        <w:rPr>
          <w:color w:val="265EAC"/>
        </w:rPr>
      </w:pPr>
    </w:p>
    <w:p w14:paraId="4F01F6F4" w14:textId="475ACEAF" w:rsidR="00FC1D87" w:rsidRDefault="00FC1D87" w:rsidP="00FC1D87">
      <w:pPr>
        <w:pStyle w:val="BodyText"/>
        <w:spacing w:before="3"/>
        <w:ind w:right="191"/>
        <w:jc w:val="both"/>
        <w:rPr>
          <w:color w:val="FF0000"/>
        </w:rPr>
      </w:pPr>
      <w:r w:rsidRPr="00FC1D87">
        <w:rPr>
          <w:color w:val="FF0000"/>
        </w:rPr>
        <w:t xml:space="preserve">TAG: </w:t>
      </w:r>
      <w:r>
        <w:rPr>
          <w:color w:val="FF0000"/>
        </w:rPr>
        <w:t>With respect to the Decarbonization Summary Table, several points:</w:t>
      </w:r>
    </w:p>
    <w:p w14:paraId="5D049839" w14:textId="178E037B" w:rsidR="00FC1D87" w:rsidRDefault="00FC1D87" w:rsidP="00FC1D87">
      <w:pPr>
        <w:pStyle w:val="BodyText"/>
        <w:numPr>
          <w:ilvl w:val="0"/>
          <w:numId w:val="5"/>
        </w:numPr>
        <w:spacing w:before="3"/>
        <w:ind w:right="191"/>
        <w:jc w:val="both"/>
        <w:rPr>
          <w:color w:val="FF0000"/>
        </w:rPr>
      </w:pPr>
      <w:r>
        <w:rPr>
          <w:color w:val="FF0000"/>
        </w:rPr>
        <w:t>We incline to setting emissions reductions based on full measure lives rather than annual savings.</w:t>
      </w:r>
    </w:p>
    <w:p w14:paraId="43DFF631" w14:textId="4034C756" w:rsidR="00BD61D1" w:rsidRPr="00BD61D1" w:rsidRDefault="00FC1D87" w:rsidP="00BD61D1">
      <w:pPr>
        <w:pStyle w:val="BodyText"/>
        <w:numPr>
          <w:ilvl w:val="0"/>
          <w:numId w:val="5"/>
        </w:numPr>
        <w:spacing w:before="3"/>
        <w:ind w:right="191"/>
        <w:jc w:val="both"/>
        <w:rPr>
          <w:color w:val="FF0000"/>
        </w:rPr>
      </w:pPr>
      <w:r>
        <w:rPr>
          <w:color w:val="FF0000"/>
        </w:rPr>
        <w:t>The approach makes sense for advanced thermostats on average, but it could also work with 24/7 emissions data.</w:t>
      </w:r>
    </w:p>
    <w:sectPr w:rsidR="00BD61D1" w:rsidRPr="00BD61D1">
      <w:headerReference w:type="even" r:id="rId8"/>
      <w:headerReference w:type="default" r:id="rId9"/>
      <w:footerReference w:type="even" r:id="rId10"/>
      <w:footerReference w:type="default" r:id="rId11"/>
      <w:headerReference w:type="first" r:id="rId12"/>
      <w:footerReference w:type="first" r:id="rId13"/>
      <w:pgSz w:w="11900" w:h="16840"/>
      <w:pgMar w:top="1580" w:right="1300" w:bottom="280" w:left="13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3B9A7A" w14:textId="77777777" w:rsidR="00130F61" w:rsidRDefault="00130F61" w:rsidP="000E2571">
      <w:r>
        <w:separator/>
      </w:r>
    </w:p>
  </w:endnote>
  <w:endnote w:type="continuationSeparator" w:id="0">
    <w:p w14:paraId="7FF7E58E" w14:textId="77777777" w:rsidR="00130F61" w:rsidRDefault="00130F61" w:rsidP="000E2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aramond">
    <w:panose1 w:val="02020404030301010803"/>
    <w:charset w:val="00"/>
    <w:family w:val="roman"/>
    <w:pitch w:val="variable"/>
    <w:sig w:usb0="00000287" w:usb1="00000002"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54633" w14:textId="77777777" w:rsidR="00114E32" w:rsidRDefault="00114E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FC3F4" w14:textId="77777777" w:rsidR="00114E32" w:rsidRDefault="00114E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64898F" w14:textId="77777777" w:rsidR="00114E32" w:rsidRDefault="00114E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8DF07B" w14:textId="77777777" w:rsidR="00130F61" w:rsidRDefault="00130F61" w:rsidP="000E2571">
      <w:r>
        <w:separator/>
      </w:r>
    </w:p>
  </w:footnote>
  <w:footnote w:type="continuationSeparator" w:id="0">
    <w:p w14:paraId="751C141E" w14:textId="77777777" w:rsidR="00130F61" w:rsidRDefault="00130F61" w:rsidP="000E25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C10AD" w14:textId="7F2F39BD" w:rsidR="00114E32" w:rsidRDefault="00130F61">
    <w:pPr>
      <w:pStyle w:val="Header"/>
    </w:pPr>
    <w:r>
      <w:rPr>
        <w:noProof/>
      </w:rPr>
      <w:pict w14:anchorId="51C710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1553133" o:spid="_x0000_s1027" type="#_x0000_t136" alt="" style="position:absolute;margin-left:0;margin-top:0;width:491.4pt;height:163.8pt;rotation:315;z-index:-251651072;mso-wrap-edited:f;mso-width-percent:0;mso-height-percent:0;mso-position-horizontal:center;mso-position-horizontal-relative:margin;mso-position-vertical:center;mso-position-vertical-relative:margin;mso-width-percent:0;mso-height-percent:0" o:allowincell="f" fillcolor="silver" stroked="f">
          <v:textpath style="font-family:&quot;Garamond&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21355C" w14:textId="2878D3DD" w:rsidR="00114E32" w:rsidRDefault="00130F61">
    <w:pPr>
      <w:pStyle w:val="Header"/>
    </w:pPr>
    <w:r>
      <w:rPr>
        <w:noProof/>
      </w:rPr>
      <w:pict w14:anchorId="3E648A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1553134" o:spid="_x0000_s1026" type="#_x0000_t136" alt="" style="position:absolute;margin-left:0;margin-top:0;width:491.4pt;height:163.8pt;rotation:315;z-index:-251646976;mso-wrap-edited:f;mso-width-percent:0;mso-height-percent:0;mso-position-horizontal:center;mso-position-horizontal-relative:margin;mso-position-vertical:center;mso-position-vertical-relative:margin;mso-width-percent:0;mso-height-percent:0" o:allowincell="f" fillcolor="silver" stroked="f">
          <v:textpath style="font-family:&quot;Garamond&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63103C" w14:textId="32CC8C0B" w:rsidR="00114E32" w:rsidRDefault="00130F61">
    <w:pPr>
      <w:pStyle w:val="Header"/>
    </w:pPr>
    <w:r>
      <w:rPr>
        <w:noProof/>
      </w:rPr>
      <w:pict w14:anchorId="6C253F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1553132" o:spid="_x0000_s1025" type="#_x0000_t136" alt="" style="position:absolute;margin-left:0;margin-top:0;width:491.4pt;height:163.8pt;rotation:315;z-index:-251655168;mso-wrap-edited:f;mso-width-percent:0;mso-height-percent:0;mso-position-horizontal:center;mso-position-horizontal-relative:margin;mso-position-vertical:center;mso-position-vertical-relative:margin;mso-width-percent:0;mso-height-percent:0" o:allowincell="f" fillcolor="silver" stroked="f">
          <v:textpath style="font-family:&quot;Garamond&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C03AC4"/>
    <w:multiLevelType w:val="hybridMultilevel"/>
    <w:tmpl w:val="640A2AE8"/>
    <w:lvl w:ilvl="0" w:tplc="04090001">
      <w:start w:val="1"/>
      <w:numFmt w:val="bullet"/>
      <w:lvlText w:val=""/>
      <w:lvlJc w:val="left"/>
      <w:pPr>
        <w:ind w:left="860" w:hanging="360"/>
      </w:pPr>
      <w:rPr>
        <w:rFonts w:ascii="Symbol" w:hAnsi="Symbol"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1" w15:restartNumberingAfterBreak="0">
    <w:nsid w:val="432064B1"/>
    <w:multiLevelType w:val="hybridMultilevel"/>
    <w:tmpl w:val="353810CA"/>
    <w:lvl w:ilvl="0" w:tplc="65280E48">
      <w:start w:val="27"/>
      <w:numFmt w:val="bullet"/>
      <w:lvlText w:val=""/>
      <w:lvlJc w:val="left"/>
      <w:pPr>
        <w:ind w:left="1004" w:hanging="360"/>
      </w:pPr>
      <w:rPr>
        <w:rFonts w:ascii="Symbol" w:eastAsia="Garamond" w:hAnsi="Symbol" w:cstheme="minorHAnsi" w:hint="default"/>
      </w:rPr>
    </w:lvl>
    <w:lvl w:ilvl="1" w:tplc="04090003" w:tentative="1">
      <w:start w:val="1"/>
      <w:numFmt w:val="bullet"/>
      <w:lvlText w:val="o"/>
      <w:lvlJc w:val="left"/>
      <w:pPr>
        <w:ind w:left="1940" w:hanging="360"/>
      </w:pPr>
      <w:rPr>
        <w:rFonts w:ascii="Courier New" w:hAnsi="Courier New" w:cs="Courier New" w:hint="default"/>
      </w:rPr>
    </w:lvl>
    <w:lvl w:ilvl="2" w:tplc="04090005" w:tentative="1">
      <w:start w:val="1"/>
      <w:numFmt w:val="bullet"/>
      <w:lvlText w:val=""/>
      <w:lvlJc w:val="left"/>
      <w:pPr>
        <w:ind w:left="2660" w:hanging="360"/>
      </w:pPr>
      <w:rPr>
        <w:rFonts w:ascii="Wingdings" w:hAnsi="Wingdings" w:hint="default"/>
      </w:rPr>
    </w:lvl>
    <w:lvl w:ilvl="3" w:tplc="04090001" w:tentative="1">
      <w:start w:val="1"/>
      <w:numFmt w:val="bullet"/>
      <w:lvlText w:val=""/>
      <w:lvlJc w:val="left"/>
      <w:pPr>
        <w:ind w:left="3380" w:hanging="360"/>
      </w:pPr>
      <w:rPr>
        <w:rFonts w:ascii="Symbol" w:hAnsi="Symbol" w:hint="default"/>
      </w:rPr>
    </w:lvl>
    <w:lvl w:ilvl="4" w:tplc="04090003" w:tentative="1">
      <w:start w:val="1"/>
      <w:numFmt w:val="bullet"/>
      <w:lvlText w:val="o"/>
      <w:lvlJc w:val="left"/>
      <w:pPr>
        <w:ind w:left="4100" w:hanging="360"/>
      </w:pPr>
      <w:rPr>
        <w:rFonts w:ascii="Courier New" w:hAnsi="Courier New" w:cs="Courier New" w:hint="default"/>
      </w:rPr>
    </w:lvl>
    <w:lvl w:ilvl="5" w:tplc="04090005" w:tentative="1">
      <w:start w:val="1"/>
      <w:numFmt w:val="bullet"/>
      <w:lvlText w:val=""/>
      <w:lvlJc w:val="left"/>
      <w:pPr>
        <w:ind w:left="4820" w:hanging="360"/>
      </w:pPr>
      <w:rPr>
        <w:rFonts w:ascii="Wingdings" w:hAnsi="Wingdings" w:hint="default"/>
      </w:rPr>
    </w:lvl>
    <w:lvl w:ilvl="6" w:tplc="04090001" w:tentative="1">
      <w:start w:val="1"/>
      <w:numFmt w:val="bullet"/>
      <w:lvlText w:val=""/>
      <w:lvlJc w:val="left"/>
      <w:pPr>
        <w:ind w:left="5540" w:hanging="360"/>
      </w:pPr>
      <w:rPr>
        <w:rFonts w:ascii="Symbol" w:hAnsi="Symbol" w:hint="default"/>
      </w:rPr>
    </w:lvl>
    <w:lvl w:ilvl="7" w:tplc="04090003" w:tentative="1">
      <w:start w:val="1"/>
      <w:numFmt w:val="bullet"/>
      <w:lvlText w:val="o"/>
      <w:lvlJc w:val="left"/>
      <w:pPr>
        <w:ind w:left="6260" w:hanging="360"/>
      </w:pPr>
      <w:rPr>
        <w:rFonts w:ascii="Courier New" w:hAnsi="Courier New" w:cs="Courier New" w:hint="default"/>
      </w:rPr>
    </w:lvl>
    <w:lvl w:ilvl="8" w:tplc="04090005" w:tentative="1">
      <w:start w:val="1"/>
      <w:numFmt w:val="bullet"/>
      <w:lvlText w:val=""/>
      <w:lvlJc w:val="left"/>
      <w:pPr>
        <w:ind w:left="6980" w:hanging="360"/>
      </w:pPr>
      <w:rPr>
        <w:rFonts w:ascii="Wingdings" w:hAnsi="Wingdings" w:hint="default"/>
      </w:rPr>
    </w:lvl>
  </w:abstractNum>
  <w:abstractNum w:abstractNumId="2" w15:restartNumberingAfterBreak="0">
    <w:nsid w:val="4C0B127E"/>
    <w:multiLevelType w:val="hybridMultilevel"/>
    <w:tmpl w:val="748A3CAE"/>
    <w:lvl w:ilvl="0" w:tplc="B520411E">
      <w:start w:val="1"/>
      <w:numFmt w:val="decimal"/>
      <w:lvlText w:val="%1."/>
      <w:lvlJc w:val="left"/>
      <w:pPr>
        <w:ind w:left="500" w:hanging="360"/>
      </w:pPr>
      <w:rPr>
        <w:rFonts w:hint="default"/>
        <w:color w:val="265EAC"/>
      </w:rPr>
    </w:lvl>
    <w:lvl w:ilvl="1" w:tplc="04090019">
      <w:start w:val="1"/>
      <w:numFmt w:val="lowerLetter"/>
      <w:lvlText w:val="%2."/>
      <w:lvlJc w:val="left"/>
      <w:pPr>
        <w:ind w:left="1220" w:hanging="360"/>
      </w:pPr>
    </w:lvl>
    <w:lvl w:ilvl="2" w:tplc="0409001B" w:tentative="1">
      <w:start w:val="1"/>
      <w:numFmt w:val="lowerRoman"/>
      <w:lvlText w:val="%3."/>
      <w:lvlJc w:val="right"/>
      <w:pPr>
        <w:ind w:left="1940" w:hanging="180"/>
      </w:pPr>
    </w:lvl>
    <w:lvl w:ilvl="3" w:tplc="0409000F" w:tentative="1">
      <w:start w:val="1"/>
      <w:numFmt w:val="decimal"/>
      <w:lvlText w:val="%4."/>
      <w:lvlJc w:val="left"/>
      <w:pPr>
        <w:ind w:left="2660" w:hanging="360"/>
      </w:pPr>
    </w:lvl>
    <w:lvl w:ilvl="4" w:tplc="04090019" w:tentative="1">
      <w:start w:val="1"/>
      <w:numFmt w:val="lowerLetter"/>
      <w:lvlText w:val="%5."/>
      <w:lvlJc w:val="left"/>
      <w:pPr>
        <w:ind w:left="3380" w:hanging="360"/>
      </w:pPr>
    </w:lvl>
    <w:lvl w:ilvl="5" w:tplc="0409001B" w:tentative="1">
      <w:start w:val="1"/>
      <w:numFmt w:val="lowerRoman"/>
      <w:lvlText w:val="%6."/>
      <w:lvlJc w:val="right"/>
      <w:pPr>
        <w:ind w:left="4100" w:hanging="180"/>
      </w:pPr>
    </w:lvl>
    <w:lvl w:ilvl="6" w:tplc="0409000F" w:tentative="1">
      <w:start w:val="1"/>
      <w:numFmt w:val="decimal"/>
      <w:lvlText w:val="%7."/>
      <w:lvlJc w:val="left"/>
      <w:pPr>
        <w:ind w:left="4820" w:hanging="360"/>
      </w:pPr>
    </w:lvl>
    <w:lvl w:ilvl="7" w:tplc="04090019" w:tentative="1">
      <w:start w:val="1"/>
      <w:numFmt w:val="lowerLetter"/>
      <w:lvlText w:val="%8."/>
      <w:lvlJc w:val="left"/>
      <w:pPr>
        <w:ind w:left="5540" w:hanging="360"/>
      </w:pPr>
    </w:lvl>
    <w:lvl w:ilvl="8" w:tplc="0409001B" w:tentative="1">
      <w:start w:val="1"/>
      <w:numFmt w:val="lowerRoman"/>
      <w:lvlText w:val="%9."/>
      <w:lvlJc w:val="right"/>
      <w:pPr>
        <w:ind w:left="6260" w:hanging="180"/>
      </w:pPr>
    </w:lvl>
  </w:abstractNum>
  <w:abstractNum w:abstractNumId="3" w15:restartNumberingAfterBreak="0">
    <w:nsid w:val="4DCC5A52"/>
    <w:multiLevelType w:val="hybridMultilevel"/>
    <w:tmpl w:val="4C10586E"/>
    <w:lvl w:ilvl="0" w:tplc="65280E48">
      <w:start w:val="27"/>
      <w:numFmt w:val="bullet"/>
      <w:lvlText w:val=""/>
      <w:lvlJc w:val="left"/>
      <w:pPr>
        <w:ind w:left="504" w:hanging="360"/>
      </w:pPr>
      <w:rPr>
        <w:rFonts w:ascii="Symbol" w:eastAsia="Garamond" w:hAnsi="Symbol" w:cstheme="minorHAnsi" w:hint="default"/>
      </w:rPr>
    </w:lvl>
    <w:lvl w:ilvl="1" w:tplc="04090003" w:tentative="1">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4" w15:restartNumberingAfterBreak="0">
    <w:nsid w:val="7D532373"/>
    <w:multiLevelType w:val="hybridMultilevel"/>
    <w:tmpl w:val="390E53DA"/>
    <w:lvl w:ilvl="0" w:tplc="27020020">
      <w:numFmt w:val="bullet"/>
      <w:lvlText w:val=""/>
      <w:lvlJc w:val="left"/>
      <w:pPr>
        <w:ind w:left="860" w:hanging="360"/>
      </w:pPr>
      <w:rPr>
        <w:rFonts w:ascii="Symbol" w:eastAsia="Symbol" w:hAnsi="Symbol" w:cs="Symbol" w:hint="default"/>
        <w:w w:val="100"/>
        <w:sz w:val="24"/>
        <w:szCs w:val="24"/>
      </w:rPr>
    </w:lvl>
    <w:lvl w:ilvl="1" w:tplc="0B3C63F0">
      <w:numFmt w:val="bullet"/>
      <w:lvlText w:val="•"/>
      <w:lvlJc w:val="left"/>
      <w:pPr>
        <w:ind w:left="1703" w:hanging="360"/>
      </w:pPr>
      <w:rPr>
        <w:rFonts w:hint="default"/>
      </w:rPr>
    </w:lvl>
    <w:lvl w:ilvl="2" w:tplc="6EF632CE">
      <w:numFmt w:val="bullet"/>
      <w:lvlText w:val="•"/>
      <w:lvlJc w:val="left"/>
      <w:pPr>
        <w:ind w:left="2547" w:hanging="360"/>
      </w:pPr>
      <w:rPr>
        <w:rFonts w:hint="default"/>
      </w:rPr>
    </w:lvl>
    <w:lvl w:ilvl="3" w:tplc="58E6CEE4">
      <w:numFmt w:val="bullet"/>
      <w:lvlText w:val="•"/>
      <w:lvlJc w:val="left"/>
      <w:pPr>
        <w:ind w:left="3391" w:hanging="360"/>
      </w:pPr>
      <w:rPr>
        <w:rFonts w:hint="default"/>
      </w:rPr>
    </w:lvl>
    <w:lvl w:ilvl="4" w:tplc="AFF62034">
      <w:numFmt w:val="bullet"/>
      <w:lvlText w:val="•"/>
      <w:lvlJc w:val="left"/>
      <w:pPr>
        <w:ind w:left="4235" w:hanging="360"/>
      </w:pPr>
      <w:rPr>
        <w:rFonts w:hint="default"/>
      </w:rPr>
    </w:lvl>
    <w:lvl w:ilvl="5" w:tplc="E47C2FCC">
      <w:numFmt w:val="bullet"/>
      <w:lvlText w:val="•"/>
      <w:lvlJc w:val="left"/>
      <w:pPr>
        <w:ind w:left="5079" w:hanging="360"/>
      </w:pPr>
      <w:rPr>
        <w:rFonts w:hint="default"/>
      </w:rPr>
    </w:lvl>
    <w:lvl w:ilvl="6" w:tplc="F6DA9A6E">
      <w:numFmt w:val="bullet"/>
      <w:lvlText w:val="•"/>
      <w:lvlJc w:val="left"/>
      <w:pPr>
        <w:ind w:left="5923" w:hanging="360"/>
      </w:pPr>
      <w:rPr>
        <w:rFonts w:hint="default"/>
      </w:rPr>
    </w:lvl>
    <w:lvl w:ilvl="7" w:tplc="167850A4">
      <w:numFmt w:val="bullet"/>
      <w:lvlText w:val="•"/>
      <w:lvlJc w:val="left"/>
      <w:pPr>
        <w:ind w:left="6767" w:hanging="360"/>
      </w:pPr>
      <w:rPr>
        <w:rFonts w:hint="default"/>
      </w:rPr>
    </w:lvl>
    <w:lvl w:ilvl="8" w:tplc="F8149C84">
      <w:numFmt w:val="bullet"/>
      <w:lvlText w:val="•"/>
      <w:lvlJc w:val="left"/>
      <w:pPr>
        <w:ind w:left="7611" w:hanging="360"/>
      </w:pPr>
      <w:rPr>
        <w:rFonts w:hint="default"/>
      </w:rPr>
    </w:lvl>
  </w:abstractNum>
  <w:num w:numId="1" w16cid:durableId="1323853755">
    <w:abstractNumId w:val="4"/>
  </w:num>
  <w:num w:numId="2" w16cid:durableId="208497952">
    <w:abstractNumId w:val="0"/>
  </w:num>
  <w:num w:numId="3" w16cid:durableId="847059427">
    <w:abstractNumId w:val="2"/>
  </w:num>
  <w:num w:numId="4" w16cid:durableId="1908487983">
    <w:abstractNumId w:val="3"/>
  </w:num>
  <w:num w:numId="5" w16cid:durableId="654969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4"/>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2D4"/>
    <w:rsid w:val="00060AEF"/>
    <w:rsid w:val="000E2571"/>
    <w:rsid w:val="00111E84"/>
    <w:rsid w:val="00114E32"/>
    <w:rsid w:val="00120B24"/>
    <w:rsid w:val="00130F61"/>
    <w:rsid w:val="00155AC0"/>
    <w:rsid w:val="001A5058"/>
    <w:rsid w:val="001F5266"/>
    <w:rsid w:val="00203490"/>
    <w:rsid w:val="00210C9D"/>
    <w:rsid w:val="00243170"/>
    <w:rsid w:val="00246DB6"/>
    <w:rsid w:val="00250CC5"/>
    <w:rsid w:val="002548BC"/>
    <w:rsid w:val="00280215"/>
    <w:rsid w:val="002813CD"/>
    <w:rsid w:val="002C38EA"/>
    <w:rsid w:val="003037E3"/>
    <w:rsid w:val="003158F4"/>
    <w:rsid w:val="00356EE3"/>
    <w:rsid w:val="0035708C"/>
    <w:rsid w:val="00366D6F"/>
    <w:rsid w:val="003C1E8B"/>
    <w:rsid w:val="003D0F77"/>
    <w:rsid w:val="003D5399"/>
    <w:rsid w:val="003E40D3"/>
    <w:rsid w:val="00420D2B"/>
    <w:rsid w:val="004234C4"/>
    <w:rsid w:val="004A0782"/>
    <w:rsid w:val="004C1B86"/>
    <w:rsid w:val="00524739"/>
    <w:rsid w:val="0054446E"/>
    <w:rsid w:val="00547704"/>
    <w:rsid w:val="005547EC"/>
    <w:rsid w:val="0057360A"/>
    <w:rsid w:val="00583379"/>
    <w:rsid w:val="005926B3"/>
    <w:rsid w:val="005D5821"/>
    <w:rsid w:val="00632B2B"/>
    <w:rsid w:val="00672D0D"/>
    <w:rsid w:val="006752AA"/>
    <w:rsid w:val="00696DD7"/>
    <w:rsid w:val="006B6143"/>
    <w:rsid w:val="006C2155"/>
    <w:rsid w:val="007032A7"/>
    <w:rsid w:val="00733E54"/>
    <w:rsid w:val="007344F8"/>
    <w:rsid w:val="00751822"/>
    <w:rsid w:val="007879F7"/>
    <w:rsid w:val="00797C0E"/>
    <w:rsid w:val="007C3F2A"/>
    <w:rsid w:val="007D2137"/>
    <w:rsid w:val="007D3271"/>
    <w:rsid w:val="00807F1C"/>
    <w:rsid w:val="00826937"/>
    <w:rsid w:val="00846FF0"/>
    <w:rsid w:val="00876423"/>
    <w:rsid w:val="00892045"/>
    <w:rsid w:val="00896E6B"/>
    <w:rsid w:val="008E0774"/>
    <w:rsid w:val="009B3B32"/>
    <w:rsid w:val="009C1791"/>
    <w:rsid w:val="00A463DB"/>
    <w:rsid w:val="00A57B0C"/>
    <w:rsid w:val="00AC7ADE"/>
    <w:rsid w:val="00AD2D33"/>
    <w:rsid w:val="00B904F7"/>
    <w:rsid w:val="00BD02A5"/>
    <w:rsid w:val="00BD61D1"/>
    <w:rsid w:val="00C31348"/>
    <w:rsid w:val="00CE181D"/>
    <w:rsid w:val="00CF6FCB"/>
    <w:rsid w:val="00D13C1F"/>
    <w:rsid w:val="00D613E2"/>
    <w:rsid w:val="00D72AD2"/>
    <w:rsid w:val="00D85DF7"/>
    <w:rsid w:val="00D866DC"/>
    <w:rsid w:val="00D92412"/>
    <w:rsid w:val="00D9620E"/>
    <w:rsid w:val="00DC01EA"/>
    <w:rsid w:val="00DC7F08"/>
    <w:rsid w:val="00DE4393"/>
    <w:rsid w:val="00E14C9A"/>
    <w:rsid w:val="00E44C1D"/>
    <w:rsid w:val="00E9397A"/>
    <w:rsid w:val="00F02B25"/>
    <w:rsid w:val="00F30D0E"/>
    <w:rsid w:val="00F460B6"/>
    <w:rsid w:val="00F912D4"/>
    <w:rsid w:val="00FC1D87"/>
    <w:rsid w:val="00FF4A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619831"/>
  <w15:docId w15:val="{056A270B-AFB7-4CAE-BD5B-C5D6092D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Garamond" w:eastAsia="Garamond" w:hAnsi="Garamond" w:cs="Garamond"/>
    </w:rPr>
  </w:style>
  <w:style w:type="paragraph" w:styleId="Heading1">
    <w:name w:val="heading 1"/>
    <w:basedOn w:val="Normal"/>
    <w:uiPriority w:val="9"/>
    <w:qFormat/>
    <w:pPr>
      <w:ind w:left="14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60" w:hanging="360"/>
    </w:pPr>
    <w:rPr>
      <w:sz w:val="24"/>
      <w:szCs w:val="24"/>
    </w:rPr>
  </w:style>
  <w:style w:type="paragraph" w:styleId="ListParagraph">
    <w:name w:val="List Paragraph"/>
    <w:basedOn w:val="Normal"/>
    <w:uiPriority w:val="1"/>
    <w:qFormat/>
    <w:pPr>
      <w:ind w:left="860" w:hanging="360"/>
    </w:pPr>
  </w:style>
  <w:style w:type="paragraph" w:customStyle="1" w:styleId="TableParagraph">
    <w:name w:val="Table Paragraph"/>
    <w:basedOn w:val="Normal"/>
    <w:uiPriority w:val="1"/>
    <w:qFormat/>
  </w:style>
  <w:style w:type="paragraph" w:styleId="Revision">
    <w:name w:val="Revision"/>
    <w:hidden/>
    <w:uiPriority w:val="99"/>
    <w:semiHidden/>
    <w:rsid w:val="001A5058"/>
    <w:pPr>
      <w:widowControl/>
      <w:autoSpaceDE/>
      <w:autoSpaceDN/>
    </w:pPr>
    <w:rPr>
      <w:rFonts w:ascii="Garamond" w:eastAsia="Garamond" w:hAnsi="Garamond" w:cs="Garamond"/>
    </w:rPr>
  </w:style>
  <w:style w:type="paragraph" w:styleId="FootnoteText">
    <w:name w:val="footnote text"/>
    <w:basedOn w:val="Normal"/>
    <w:link w:val="FootnoteTextChar"/>
    <w:uiPriority w:val="99"/>
    <w:semiHidden/>
    <w:unhideWhenUsed/>
    <w:rsid w:val="000E2571"/>
    <w:rPr>
      <w:sz w:val="20"/>
      <w:szCs w:val="20"/>
    </w:rPr>
  </w:style>
  <w:style w:type="character" w:customStyle="1" w:styleId="FootnoteTextChar">
    <w:name w:val="Footnote Text Char"/>
    <w:basedOn w:val="DefaultParagraphFont"/>
    <w:link w:val="FootnoteText"/>
    <w:uiPriority w:val="99"/>
    <w:semiHidden/>
    <w:rsid w:val="000E2571"/>
    <w:rPr>
      <w:rFonts w:ascii="Garamond" w:eastAsia="Garamond" w:hAnsi="Garamond" w:cs="Garamond"/>
      <w:sz w:val="20"/>
      <w:szCs w:val="20"/>
    </w:rPr>
  </w:style>
  <w:style w:type="character" w:styleId="FootnoteReference">
    <w:name w:val="footnote reference"/>
    <w:basedOn w:val="DefaultParagraphFont"/>
    <w:uiPriority w:val="99"/>
    <w:semiHidden/>
    <w:unhideWhenUsed/>
    <w:rsid w:val="000E2571"/>
    <w:rPr>
      <w:vertAlign w:val="superscript"/>
    </w:rPr>
  </w:style>
  <w:style w:type="character" w:styleId="Hyperlink">
    <w:name w:val="Hyperlink"/>
    <w:basedOn w:val="DefaultParagraphFont"/>
    <w:uiPriority w:val="99"/>
    <w:unhideWhenUsed/>
    <w:rsid w:val="00D866DC"/>
    <w:rPr>
      <w:color w:val="0000FF" w:themeColor="hyperlink"/>
      <w:u w:val="single"/>
    </w:rPr>
  </w:style>
  <w:style w:type="character" w:styleId="UnresolvedMention">
    <w:name w:val="Unresolved Mention"/>
    <w:basedOn w:val="DefaultParagraphFont"/>
    <w:uiPriority w:val="99"/>
    <w:semiHidden/>
    <w:unhideWhenUsed/>
    <w:rsid w:val="00D866DC"/>
    <w:rPr>
      <w:color w:val="605E5C"/>
      <w:shd w:val="clear" w:color="auto" w:fill="E1DFDD"/>
    </w:rPr>
  </w:style>
  <w:style w:type="paragraph" w:styleId="Header">
    <w:name w:val="header"/>
    <w:basedOn w:val="Normal"/>
    <w:link w:val="HeaderChar"/>
    <w:uiPriority w:val="99"/>
    <w:unhideWhenUsed/>
    <w:rsid w:val="00114E32"/>
    <w:pPr>
      <w:tabs>
        <w:tab w:val="center" w:pos="4680"/>
        <w:tab w:val="right" w:pos="9360"/>
      </w:tabs>
    </w:pPr>
  </w:style>
  <w:style w:type="character" w:customStyle="1" w:styleId="HeaderChar">
    <w:name w:val="Header Char"/>
    <w:basedOn w:val="DefaultParagraphFont"/>
    <w:link w:val="Header"/>
    <w:uiPriority w:val="99"/>
    <w:rsid w:val="00114E32"/>
    <w:rPr>
      <w:rFonts w:ascii="Garamond" w:eastAsia="Garamond" w:hAnsi="Garamond" w:cs="Garamond"/>
    </w:rPr>
  </w:style>
  <w:style w:type="paragraph" w:styleId="Footer">
    <w:name w:val="footer"/>
    <w:basedOn w:val="Normal"/>
    <w:link w:val="FooterChar"/>
    <w:uiPriority w:val="99"/>
    <w:unhideWhenUsed/>
    <w:rsid w:val="00114E32"/>
    <w:pPr>
      <w:tabs>
        <w:tab w:val="center" w:pos="4680"/>
        <w:tab w:val="right" w:pos="9360"/>
      </w:tabs>
    </w:pPr>
  </w:style>
  <w:style w:type="character" w:customStyle="1" w:styleId="FooterChar">
    <w:name w:val="Footer Char"/>
    <w:basedOn w:val="DefaultParagraphFont"/>
    <w:link w:val="Footer"/>
    <w:uiPriority w:val="99"/>
    <w:rsid w:val="00114E32"/>
    <w:rPr>
      <w:rFonts w:ascii="Garamond" w:eastAsia="Garamond" w:hAnsi="Garamond" w:cs="Garamon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358777-093B-4F75-AA7E-530A1FA9F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2628</Words>
  <Characters>14980</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Plummer</dc:creator>
  <cp:lastModifiedBy>Catherine Morris</cp:lastModifiedBy>
  <cp:revision>2</cp:revision>
  <dcterms:created xsi:type="dcterms:W3CDTF">2024-08-06T17:59:00Z</dcterms:created>
  <dcterms:modified xsi:type="dcterms:W3CDTF">2024-08-06T17:59:00Z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2024-07-09T00:00:00Z</vt:filetime>
  </property>
  <property fmtid="{D5CDD505-2E9C-101B-9397-08002B2CF9AE}" pid="3" name="LastSaved">
    <vt:filetime>2024-07-09T00:00:00Z</vt:filetime>
  </property>
</Properties>
</file>