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3.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rPr>
          <w:rFonts w:ascii="Franklin Gothic Book" w:hAnsi="Franklin Gothic Book"/>
          <w:sz w:val="22"/>
        </w:rPr>
        <w:id w:val="2047950357"/>
        <w:docPartObj>
          <w:docPartGallery w:val="Cover Pages"/>
          <w:docPartUnique/>
        </w:docPartObj>
      </w:sdtPr>
      <w:sdtEndPr/>
      <w:sdtContent>
        <w:p w14:paraId="38B66356" w14:textId="12EE55C4" w:rsidR="001F322C" w:rsidRDefault="006F3F46" w:rsidP="002019F0">
          <w:pPr>
            <w:pStyle w:val="TableTextLeftMedium"/>
            <w:tabs>
              <w:tab w:val="left" w:pos="4680"/>
            </w:tabs>
          </w:pPr>
          <w:r>
            <w:rPr>
              <w:noProof/>
            </w:rPr>
            <w:drawing>
              <wp:anchor distT="0" distB="0" distL="114300" distR="114300" simplePos="0" relativeHeight="251669504" behindDoc="1" locked="0" layoutInCell="1" allowOverlap="1" wp14:anchorId="72058C05" wp14:editId="59D99CD7">
                <wp:simplePos x="0" y="0"/>
                <wp:positionH relativeFrom="column">
                  <wp:posOffset>-446405</wp:posOffset>
                </wp:positionH>
                <wp:positionV relativeFrom="paragraph">
                  <wp:posOffset>-158043</wp:posOffset>
                </wp:positionV>
                <wp:extent cx="7945525" cy="10281392"/>
                <wp:effectExtent l="0" t="0" r="0" b="5715"/>
                <wp:wrapNone/>
                <wp:docPr id="898149672" name="Picture 1" descr="A close-up of a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8149672" name="Picture 1" descr="A close-up of a building&#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7945525" cy="10281392"/>
                        </a:xfrm>
                        <a:prstGeom prst="rect">
                          <a:avLst/>
                        </a:prstGeom>
                      </pic:spPr>
                    </pic:pic>
                  </a:graphicData>
                </a:graphic>
                <wp14:sizeRelH relativeFrom="margin">
                  <wp14:pctWidth>0</wp14:pctWidth>
                </wp14:sizeRelH>
                <wp14:sizeRelV relativeFrom="margin">
                  <wp14:pctHeight>0</wp14:pctHeight>
                </wp14:sizeRelV>
              </wp:anchor>
            </w:drawing>
          </w:r>
          <w:r w:rsidR="002019F0">
            <w:rPr>
              <w:rFonts w:ascii="Franklin Gothic Book" w:hAnsi="Franklin Gothic Book"/>
              <w:sz w:val="22"/>
            </w:rPr>
            <w:tab/>
          </w:r>
        </w:p>
        <w:p w14:paraId="480DACF6" w14:textId="77777777" w:rsidR="001F322C" w:rsidRDefault="001F322C" w:rsidP="001F322C">
          <w:r>
            <w:rPr>
              <w:noProof/>
            </w:rPr>
            <mc:AlternateContent>
              <mc:Choice Requires="wps">
                <w:drawing>
                  <wp:anchor distT="190500" distB="190500" distL="476250" distR="476250" simplePos="0" relativeHeight="251658240" behindDoc="0" locked="0" layoutInCell="1" allowOverlap="1" wp14:anchorId="0C62DC38" wp14:editId="47A70A57">
                    <wp:simplePos x="0" y="0"/>
                    <wp:positionH relativeFrom="page">
                      <wp:align>left</wp:align>
                    </wp:positionH>
                    <wp:positionV relativeFrom="page">
                      <wp:posOffset>2041071</wp:posOffset>
                    </wp:positionV>
                    <wp:extent cx="7766685" cy="377190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66685" cy="3771900"/>
                            </a:xfrm>
                            <a:prstGeom prst="rect">
                              <a:avLst/>
                            </a:prstGeom>
                            <a:noFill/>
                            <a:ln w="9525">
                              <a:noFill/>
                              <a:miter lim="800000"/>
                              <a:headEnd/>
                              <a:tailEnd/>
                            </a:ln>
                          </wps:spPr>
                          <wps:txbx>
                            <w:txbxContent>
                              <w:p w14:paraId="6C97F9E7" w14:textId="7CB988A2" w:rsidR="00D27354" w:rsidRDefault="004A582B" w:rsidP="00D27354">
                                <w:pPr>
                                  <w:pStyle w:val="Title"/>
                                </w:pPr>
                                <w:r>
                                  <w:t>Vermont Clean Heat Standard</w:t>
                                </w:r>
                              </w:p>
                              <w:p w14:paraId="1D5B16F2" w14:textId="3411539D" w:rsidR="00D27354" w:rsidRPr="00D27354" w:rsidRDefault="00EC2EBA" w:rsidP="00C54B21">
                                <w:pPr>
                                  <w:pStyle w:val="Subtitle"/>
                                  <w:rPr>
                                    <w:lang w:val="en-ZA"/>
                                  </w:rPr>
                                </w:pPr>
                                <w:r>
                                  <w:rPr>
                                    <w:lang w:val="en-ZA"/>
                                  </w:rPr>
                                  <w:t xml:space="preserve">Fuel Measure </w:t>
                                </w:r>
                                <w:r w:rsidR="004A582B">
                                  <w:rPr>
                                    <w:lang w:val="en-ZA"/>
                                  </w:rPr>
                                  <w:t>Characterizations</w:t>
                                </w:r>
                              </w:p>
                              <w:p w14:paraId="4A8BF77D" w14:textId="77777777" w:rsidR="00D27354" w:rsidRPr="00D27354" w:rsidRDefault="00D27354" w:rsidP="00D27354">
                                <w:pPr>
                                  <w:ind w:left="450"/>
                                  <w:rPr>
                                    <w:rFonts w:ascii="Rift Soft Light" w:hAnsi="Rift Soft Light"/>
                                    <w:sz w:val="44"/>
                                    <w:szCs w:val="44"/>
                                    <w:lang w:val="en-ZA"/>
                                  </w:rPr>
                                </w:pPr>
                              </w:p>
                              <w:p w14:paraId="76A24B60" w14:textId="5BE6A712" w:rsidR="00D27354" w:rsidRPr="00D27354" w:rsidRDefault="000E361C" w:rsidP="00C54B21">
                                <w:pPr>
                                  <w:pStyle w:val="Title3"/>
                                  <w:rPr>
                                    <w:lang w:val="en-ZA"/>
                                  </w:rPr>
                                </w:pPr>
                                <w:r>
                                  <w:rPr>
                                    <w:lang w:val="en-ZA"/>
                                  </w:rPr>
                                  <w:t xml:space="preserve">September </w:t>
                                </w:r>
                                <w:r w:rsidR="00941CD9">
                                  <w:rPr>
                                    <w:lang w:val="en-ZA"/>
                                  </w:rPr>
                                  <w:t>9</w:t>
                                </w:r>
                                <w:r>
                                  <w:rPr>
                                    <w:lang w:val="en-ZA"/>
                                  </w:rPr>
                                  <w:t>, 2024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C62DC38" id="_x0000_t202" coordsize="21600,21600" o:spt="202" path="m,l,21600r21600,l21600,xe">
                    <v:stroke joinstyle="miter"/>
                    <v:path gradientshapeok="t" o:connecttype="rect"/>
                  </v:shapetype>
                  <v:shape id="Text Box 2" o:spid="_x0000_s1026" type="#_x0000_t202" style="position:absolute;margin-left:0;margin-top:160.7pt;width:611.55pt;height:297pt;z-index:251658240;visibility:visible;mso-wrap-style:square;mso-width-percent:0;mso-height-percent:0;mso-wrap-distance-left:37.5pt;mso-wrap-distance-top:15pt;mso-wrap-distance-right:37.5pt;mso-wrap-distance-bottom:15pt;mso-position-horizontal:left;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" filled="f" stroked="f">
                    <v:textbox>
                      <w:txbxContent>
                        <w:p w14:paraId="6C97F9E7" w14:textId="7CB988A2" w:rsidR="00D27354" w:rsidRDefault="004A582B" w:rsidP="00D27354">
                          <w:pPr>
                            <w:pStyle w:val="Title"/>
                          </w:pPr>
                          <w:r>
                            <w:t>Vermont Clean Heat Standard</w:t>
                          </w:r>
                        </w:p>
                        <w:p w14:paraId="1D5B16F2" w14:textId="3411539D" w:rsidR="00D27354" w:rsidRPr="00D27354" w:rsidRDefault="00EC2EBA" w:rsidP="00C54B21">
                          <w:pPr>
                            <w:pStyle w:val="Subtitle"/>
                            <w:rPr>
                              <w:lang w:val="en-ZA"/>
                            </w:rPr>
                          </w:pPr>
                          <w:r>
                            <w:rPr>
                              <w:lang w:val="en-ZA"/>
                            </w:rPr>
                            <w:t xml:space="preserve">Fuel Measure </w:t>
                          </w:r>
                          <w:r w:rsidR="004A582B">
                            <w:rPr>
                              <w:lang w:val="en-ZA"/>
                            </w:rPr>
                            <w:t>Characterizations</w:t>
                          </w:r>
                        </w:p>
                        <w:p w14:paraId="4A8BF77D" w14:textId="77777777" w:rsidR="00D27354" w:rsidRPr="00D27354" w:rsidRDefault="00D27354" w:rsidP="00D27354">
                          <w:pPr>
                            <w:ind w:left="450"/>
                            <w:rPr>
                              <w:rFonts w:ascii="Rift Soft Light" w:hAnsi="Rift Soft Light"/>
                              <w:sz w:val="44"/>
                              <w:szCs w:val="44"/>
                              <w:lang w:val="en-ZA"/>
                            </w:rPr>
                          </w:pPr>
                        </w:p>
                        <w:p w14:paraId="76A24B60" w14:textId="5BE6A712" w:rsidR="00D27354" w:rsidRPr="00D27354" w:rsidRDefault="000E361C" w:rsidP="00C54B21">
                          <w:pPr>
                            <w:pStyle w:val="Title3"/>
                            <w:rPr>
                              <w:lang w:val="en-ZA"/>
                            </w:rPr>
                          </w:pPr>
                          <w:r>
                            <w:rPr>
                              <w:lang w:val="en-ZA"/>
                            </w:rPr>
                            <w:t xml:space="preserve">September </w:t>
                          </w:r>
                          <w:r w:rsidR="00941CD9">
                            <w:rPr>
                              <w:lang w:val="en-ZA"/>
                            </w:rPr>
                            <w:t>9</w:t>
                          </w:r>
                          <w:r>
                            <w:rPr>
                              <w:lang w:val="en-ZA"/>
                            </w:rPr>
                            <w:t>, 2024</w:t>
                          </w:r>
                        </w:p>
                      </w:txbxContent>
                    </v:textbox>
                    <w10:wrap type="square" anchorx="page" anchory="page"/>
                  </v:shape>
                </w:pict>
              </mc:Fallback>
            </mc:AlternateContent>
          </w:r>
          <w:r>
            <w:br w:type="page"/>
          </w:r>
        </w:p>
      </w:sdtContent>
    </w:sdt>
    <w:sdt>
      <w:sdtPr>
        <w:rPr>
          <w:rFonts w:ascii="Franklin Gothic Book" w:hAnsi="Franklin Gothic Book"/>
          <w:color w:val="4A4D56" w:themeColor="text1"/>
          <w:sz w:val="22"/>
          <w:szCs w:val="22"/>
        </w:rPr>
        <w:id w:val="-2089219017"/>
        <w:docPartObj>
          <w:docPartGallery w:val="Table of Contents"/>
          <w:docPartUnique/>
        </w:docPartObj>
      </w:sdtPr>
      <w:sdtEndPr>
        <w:rPr>
          <w:noProof/>
        </w:rPr>
      </w:sdtEndPr>
      <w:sdtContent>
        <w:p w14:paraId="4FB14796" w14:textId="77777777" w:rsidR="003B615C" w:rsidRDefault="00D27354" w:rsidP="001F322C">
          <w:pPr>
            <w:pStyle w:val="TOCHeading"/>
          </w:pPr>
          <w:r>
            <w:t>Contents</w:t>
          </w:r>
        </w:p>
        <w:p w14:paraId="5F1426BF" w14:textId="77777777" w:rsidR="00D46533" w:rsidRDefault="00D46533" w:rsidP="00267358">
          <w:pPr>
            <w:sectPr w:rsidR="00D46533" w:rsidSect="00BE7B5D">
              <w:headerReference w:type="default" r:id="rId12"/>
              <w:footerReference w:type="default" r:id="rId13"/>
              <w:footnotePr>
                <w:numRestart w:val="eachSect"/>
              </w:footnotePr>
              <w:endnotePr>
                <w:numFmt w:val="decimal"/>
                <w:numRestart w:val="eachSect"/>
              </w:endnotePr>
              <w:type w:val="continuous"/>
              <w:pgSz w:w="12240" w:h="15840" w:code="1"/>
              <w:pgMar w:top="39" w:right="567" w:bottom="567" w:left="567" w:header="567" w:footer="340" w:gutter="0"/>
              <w:cols w:space="708"/>
              <w:titlePg/>
              <w:docGrid w:linePitch="360"/>
            </w:sectPr>
          </w:pPr>
        </w:p>
        <w:p w14:paraId="0DA345CB" w14:textId="3D11712F" w:rsidR="008F724F" w:rsidRDefault="00946702">
          <w:pPr>
            <w:pStyle w:val="TOC1"/>
            <w:rPr>
              <w:rFonts w:asciiTheme="minorHAnsi" w:eastAsiaTheme="minorEastAsia" w:hAnsiTheme="minorHAnsi" w:cstheme="minorBidi"/>
              <w:color w:val="auto"/>
              <w:kern w:val="2"/>
              <w:sz w:val="24"/>
              <w:szCs w:val="24"/>
              <w14:ligatures w14:val="standardContextual"/>
            </w:rPr>
          </w:pPr>
          <w:r>
            <w:fldChar w:fldCharType="begin"/>
          </w:r>
          <w:r>
            <w:instrText xml:space="preserve"> TOC \o "1-2" \h \z \u </w:instrText>
          </w:r>
          <w:r>
            <w:fldChar w:fldCharType="separate"/>
          </w:r>
          <w:hyperlink w:anchor="_Toc176785052" w:history="1">
            <w:r w:rsidR="008F724F" w:rsidRPr="00E03ACF">
              <w:rPr>
                <w:rStyle w:val="Hyperlink"/>
              </w:rPr>
              <w:t>1.</w:t>
            </w:r>
            <w:r w:rsidR="008F724F">
              <w:rPr>
                <w:rFonts w:asciiTheme="minorHAnsi" w:eastAsiaTheme="minorEastAsia" w:hAnsiTheme="minorHAnsi" w:cstheme="minorBidi"/>
                <w:color w:val="auto"/>
                <w:kern w:val="2"/>
                <w:sz w:val="24"/>
                <w:szCs w:val="24"/>
                <w14:ligatures w14:val="standardContextual"/>
              </w:rPr>
              <w:tab/>
            </w:r>
            <w:r w:rsidR="008F724F" w:rsidRPr="00E03ACF">
              <w:rPr>
                <w:rStyle w:val="Hyperlink"/>
              </w:rPr>
              <w:t>Measure Characterizations - Fuel Measures</w:t>
            </w:r>
            <w:r w:rsidR="008F724F">
              <w:rPr>
                <w:webHidden/>
              </w:rPr>
              <w:tab/>
            </w:r>
            <w:r w:rsidR="008F724F">
              <w:rPr>
                <w:webHidden/>
              </w:rPr>
              <w:fldChar w:fldCharType="begin"/>
            </w:r>
            <w:r w:rsidR="008F724F">
              <w:rPr>
                <w:webHidden/>
              </w:rPr>
              <w:instrText xml:space="preserve"> PAGEREF _Toc176785052 \h </w:instrText>
            </w:r>
            <w:r w:rsidR="008F724F">
              <w:rPr>
                <w:webHidden/>
              </w:rPr>
            </w:r>
            <w:r w:rsidR="008F724F">
              <w:rPr>
                <w:webHidden/>
              </w:rPr>
              <w:fldChar w:fldCharType="separate"/>
            </w:r>
            <w:r w:rsidR="008F724F">
              <w:rPr>
                <w:webHidden/>
              </w:rPr>
              <w:t>3</w:t>
            </w:r>
            <w:r w:rsidR="008F724F">
              <w:rPr>
                <w:webHidden/>
              </w:rPr>
              <w:fldChar w:fldCharType="end"/>
            </w:r>
          </w:hyperlink>
        </w:p>
        <w:p w14:paraId="4BB939D0" w14:textId="068539DC" w:rsidR="008F724F" w:rsidRDefault="00B54BC4">
          <w:pPr>
            <w:pStyle w:val="TOC2"/>
            <w:rPr>
              <w:rFonts w:asciiTheme="minorHAnsi" w:eastAsiaTheme="minorEastAsia" w:hAnsiTheme="minorHAnsi" w:cstheme="minorBidi"/>
              <w:color w:val="auto"/>
              <w:kern w:val="2"/>
              <w:sz w:val="24"/>
              <w:szCs w:val="24"/>
              <w14:ligatures w14:val="standardContextual"/>
            </w:rPr>
          </w:pPr>
          <w:hyperlink w:anchor="_Toc176785053" w:history="1">
            <w:r w:rsidR="008F724F" w:rsidRPr="00E03ACF">
              <w:rPr>
                <w:rStyle w:val="Hyperlink"/>
              </w:rPr>
              <w:t>1.1</w:t>
            </w:r>
            <w:r w:rsidR="008F724F">
              <w:rPr>
                <w:rFonts w:asciiTheme="minorHAnsi" w:eastAsiaTheme="minorEastAsia" w:hAnsiTheme="minorHAnsi" w:cstheme="minorBidi"/>
                <w:color w:val="auto"/>
                <w:kern w:val="2"/>
                <w:sz w:val="24"/>
                <w:szCs w:val="24"/>
                <w14:ligatures w14:val="standardContextual"/>
              </w:rPr>
              <w:tab/>
            </w:r>
            <w:r w:rsidR="008F724F" w:rsidRPr="00E03ACF">
              <w:rPr>
                <w:rStyle w:val="Hyperlink"/>
              </w:rPr>
              <w:t>Liquid and Gaseous Fuels</w:t>
            </w:r>
            <w:r w:rsidR="008F724F">
              <w:rPr>
                <w:webHidden/>
              </w:rPr>
              <w:tab/>
            </w:r>
            <w:r w:rsidR="008F724F">
              <w:rPr>
                <w:webHidden/>
              </w:rPr>
              <w:fldChar w:fldCharType="begin"/>
            </w:r>
            <w:r w:rsidR="008F724F">
              <w:rPr>
                <w:webHidden/>
              </w:rPr>
              <w:instrText xml:space="preserve"> PAGEREF _Toc176785053 \h </w:instrText>
            </w:r>
            <w:r w:rsidR="008F724F">
              <w:rPr>
                <w:webHidden/>
              </w:rPr>
            </w:r>
            <w:r w:rsidR="008F724F">
              <w:rPr>
                <w:webHidden/>
              </w:rPr>
              <w:fldChar w:fldCharType="separate"/>
            </w:r>
            <w:r w:rsidR="008F724F">
              <w:rPr>
                <w:webHidden/>
              </w:rPr>
              <w:t>3</w:t>
            </w:r>
            <w:r w:rsidR="008F724F">
              <w:rPr>
                <w:webHidden/>
              </w:rPr>
              <w:fldChar w:fldCharType="end"/>
            </w:r>
          </w:hyperlink>
        </w:p>
        <w:p w14:paraId="1BEBBBD4" w14:textId="759BA93C" w:rsidR="008F724F" w:rsidRDefault="00B54BC4">
          <w:pPr>
            <w:pStyle w:val="TOC2"/>
            <w:rPr>
              <w:rFonts w:asciiTheme="minorHAnsi" w:eastAsiaTheme="minorEastAsia" w:hAnsiTheme="minorHAnsi" w:cstheme="minorBidi"/>
              <w:color w:val="auto"/>
              <w:kern w:val="2"/>
              <w:sz w:val="24"/>
              <w:szCs w:val="24"/>
              <w14:ligatures w14:val="standardContextual"/>
            </w:rPr>
          </w:pPr>
          <w:hyperlink w:anchor="_Toc176785054" w:history="1">
            <w:r w:rsidR="008F724F" w:rsidRPr="00E03ACF">
              <w:rPr>
                <w:rStyle w:val="Hyperlink"/>
              </w:rPr>
              <w:t>1.2</w:t>
            </w:r>
            <w:r w:rsidR="008F724F">
              <w:rPr>
                <w:rFonts w:asciiTheme="minorHAnsi" w:eastAsiaTheme="minorEastAsia" w:hAnsiTheme="minorHAnsi" w:cstheme="minorBidi"/>
                <w:color w:val="auto"/>
                <w:kern w:val="2"/>
                <w:sz w:val="24"/>
                <w:szCs w:val="24"/>
                <w14:ligatures w14:val="standardContextual"/>
              </w:rPr>
              <w:tab/>
            </w:r>
            <w:r w:rsidR="008F724F" w:rsidRPr="00E03ACF">
              <w:rPr>
                <w:rStyle w:val="Hyperlink"/>
              </w:rPr>
              <w:t>Wood Fuels</w:t>
            </w:r>
            <w:r w:rsidR="008F724F">
              <w:rPr>
                <w:webHidden/>
              </w:rPr>
              <w:tab/>
            </w:r>
            <w:r w:rsidR="008F724F">
              <w:rPr>
                <w:webHidden/>
              </w:rPr>
              <w:fldChar w:fldCharType="begin"/>
            </w:r>
            <w:r w:rsidR="008F724F">
              <w:rPr>
                <w:webHidden/>
              </w:rPr>
              <w:instrText xml:space="preserve"> PAGEREF _Toc176785054 \h </w:instrText>
            </w:r>
            <w:r w:rsidR="008F724F">
              <w:rPr>
                <w:webHidden/>
              </w:rPr>
            </w:r>
            <w:r w:rsidR="008F724F">
              <w:rPr>
                <w:webHidden/>
              </w:rPr>
              <w:fldChar w:fldCharType="separate"/>
            </w:r>
            <w:r w:rsidR="008F724F">
              <w:rPr>
                <w:webHidden/>
              </w:rPr>
              <w:t>15</w:t>
            </w:r>
            <w:r w:rsidR="008F724F">
              <w:rPr>
                <w:webHidden/>
              </w:rPr>
              <w:fldChar w:fldCharType="end"/>
            </w:r>
          </w:hyperlink>
        </w:p>
        <w:p w14:paraId="7E81A5F2" w14:textId="3D9170A2" w:rsidR="00BD573A" w:rsidRPr="00BD573A" w:rsidRDefault="00946702" w:rsidP="00946702">
          <w:pPr>
            <w:tabs>
              <w:tab w:val="right" w:leader="dot" w:pos="10746"/>
            </w:tabs>
            <w:ind w:right="-4"/>
          </w:pPr>
          <w:r>
            <w:rPr>
              <w:noProof/>
            </w:rPr>
            <w:fldChar w:fldCharType="end"/>
          </w:r>
        </w:p>
      </w:sdtContent>
    </w:sdt>
    <w:p w14:paraId="4EC83CE9" w14:textId="77777777" w:rsidR="00BD573A" w:rsidRPr="00BD573A" w:rsidRDefault="00BD573A" w:rsidP="00BD573A">
      <w:pPr>
        <w:sectPr w:rsidR="00BD573A" w:rsidRPr="00BD573A" w:rsidSect="00BE7B5D">
          <w:headerReference w:type="default" r:id="rId14"/>
          <w:footerReference w:type="default" r:id="rId15"/>
          <w:footnotePr>
            <w:numRestart w:val="eachSect"/>
          </w:footnotePr>
          <w:endnotePr>
            <w:numFmt w:val="decimal"/>
            <w:numRestart w:val="eachSect"/>
          </w:endnotePr>
          <w:type w:val="continuous"/>
          <w:pgSz w:w="12240" w:h="15840" w:code="1"/>
          <w:pgMar w:top="39" w:right="567" w:bottom="567" w:left="567" w:header="142" w:footer="340" w:gutter="0"/>
          <w:cols w:space="708"/>
          <w:titlePg/>
          <w:docGrid w:linePitch="360"/>
        </w:sectPr>
      </w:pPr>
    </w:p>
    <w:p w14:paraId="3199FD10" w14:textId="512D8B8E" w:rsidR="004A582B" w:rsidRDefault="004A582B" w:rsidP="004A582B">
      <w:pPr>
        <w:pStyle w:val="Heading1"/>
      </w:pPr>
      <w:bookmarkStart w:id="0" w:name="_Toc170484193"/>
      <w:bookmarkStart w:id="1" w:name="_Toc176785052"/>
      <w:r>
        <w:lastRenderedPageBreak/>
        <w:t xml:space="preserve">Measure </w:t>
      </w:r>
      <w:r w:rsidR="002019F0">
        <w:t>Characterizations -</w:t>
      </w:r>
      <w:r w:rsidR="004C23B1">
        <w:t xml:space="preserve"> Fuel Measures</w:t>
      </w:r>
      <w:bookmarkEnd w:id="0"/>
      <w:bookmarkEnd w:id="1"/>
    </w:p>
    <w:p w14:paraId="58DCB2B9" w14:textId="221C39F0" w:rsidR="004A582B" w:rsidRDefault="00EC2EBA" w:rsidP="002203CC">
      <w:pPr>
        <w:pStyle w:val="Heading2"/>
      </w:pPr>
      <w:bookmarkStart w:id="2" w:name="_Toc176785053"/>
      <w:r>
        <w:t>Liquid and Gaseous Fuels</w:t>
      </w:r>
      <w:bookmarkEnd w:id="2"/>
    </w:p>
    <w:p w14:paraId="25C13ED9" w14:textId="3B475864" w:rsidR="004A582B" w:rsidRDefault="00136622" w:rsidP="002203CC">
      <w:pPr>
        <w:pStyle w:val="Heading3"/>
      </w:pPr>
      <w:r>
        <w:t xml:space="preserve">Gaseous </w:t>
      </w:r>
      <w:r w:rsidR="00EC2EBA">
        <w:t>Hydrogen from Dedicated Renewables</w:t>
      </w:r>
    </w:p>
    <w:p w14:paraId="53936AB4" w14:textId="77777777" w:rsidR="0041296A" w:rsidRPr="00FC7A76" w:rsidRDefault="0041296A" w:rsidP="0041296A">
      <w:pPr>
        <w:spacing w:after="0"/>
        <w:ind w:left="1080"/>
      </w:pPr>
      <w:r w:rsidRPr="00B34EA4">
        <w:rPr>
          <w:b/>
          <w:bCs/>
        </w:rPr>
        <w:t xml:space="preserve">CHS Measure ID: </w:t>
      </w:r>
      <w:r>
        <w:t>ALL_FUEL</w:t>
      </w:r>
      <w:r w:rsidRPr="00B34EA4">
        <w:t>_</w:t>
      </w:r>
      <w:r>
        <w:t>HYD</w:t>
      </w:r>
    </w:p>
    <w:p w14:paraId="59716424" w14:textId="77777777" w:rsidR="0041296A" w:rsidRDefault="0041296A" w:rsidP="0041296A">
      <w:pPr>
        <w:spacing w:after="0"/>
        <w:ind w:left="1080"/>
        <w:rPr>
          <w:b/>
          <w:bCs/>
        </w:rPr>
      </w:pPr>
      <w:r>
        <w:rPr>
          <w:b/>
          <w:bCs/>
        </w:rPr>
        <w:t xml:space="preserve">Market Sector: </w:t>
      </w:r>
      <w:r>
        <w:t>All</w:t>
      </w:r>
    </w:p>
    <w:p w14:paraId="6E1B905E" w14:textId="77777777" w:rsidR="0041296A" w:rsidRPr="0016490D" w:rsidRDefault="0041296A" w:rsidP="0041296A">
      <w:pPr>
        <w:spacing w:after="0"/>
        <w:ind w:left="1080"/>
      </w:pPr>
      <w:r>
        <w:rPr>
          <w:b/>
          <w:bCs/>
        </w:rPr>
        <w:t xml:space="preserve">End Use: </w:t>
      </w:r>
      <w:r>
        <w:t xml:space="preserve">Alternative Fuels </w:t>
      </w:r>
    </w:p>
    <w:p w14:paraId="327E5771" w14:textId="77777777" w:rsidR="0041296A" w:rsidRPr="003F16E4" w:rsidRDefault="0041296A" w:rsidP="0041296A">
      <w:pPr>
        <w:spacing w:after="0"/>
        <w:ind w:left="1080"/>
      </w:pPr>
      <w:r>
        <w:rPr>
          <w:b/>
          <w:bCs/>
        </w:rPr>
        <w:t xml:space="preserve">Applicable Building Types: </w:t>
      </w:r>
      <w:r>
        <w:t>All</w:t>
      </w:r>
    </w:p>
    <w:p w14:paraId="33ED561B" w14:textId="77777777" w:rsidR="0041296A" w:rsidRDefault="0041296A" w:rsidP="0041296A">
      <w:pPr>
        <w:spacing w:after="0"/>
        <w:ind w:left="360" w:firstLine="720"/>
      </w:pPr>
      <w:r>
        <w:rPr>
          <w:b/>
          <w:bCs/>
        </w:rPr>
        <w:t xml:space="preserve">Decarbonization Pathways: </w:t>
      </w:r>
      <w:bookmarkStart w:id="3" w:name="_Hlk175647287"/>
      <w:r w:rsidRPr="00050DAC">
        <w:t>Alternative Fuels</w:t>
      </w:r>
      <w:bookmarkEnd w:id="3"/>
    </w:p>
    <w:p w14:paraId="330D0B4C" w14:textId="16F65AB9" w:rsidR="0041296A" w:rsidRPr="00963504" w:rsidRDefault="0041296A" w:rsidP="0041296A">
      <w:pPr>
        <w:spacing w:after="0"/>
        <w:ind w:left="1080"/>
      </w:pPr>
      <w:r>
        <w:rPr>
          <w:b/>
          <w:bCs/>
        </w:rPr>
        <w:t xml:space="preserve">Applicable Feedstocks: </w:t>
      </w:r>
      <w:r w:rsidR="00EE1FA8">
        <w:t>G</w:t>
      </w:r>
      <w:r>
        <w:t xml:space="preserve">aseous hydrogen </w:t>
      </w:r>
      <w:r w:rsidR="00EE1FA8">
        <w:t>from dedicated renewables</w:t>
      </w:r>
    </w:p>
    <w:p w14:paraId="16773303" w14:textId="77777777" w:rsidR="0041296A" w:rsidRDefault="0041296A" w:rsidP="0041296A">
      <w:pPr>
        <w:pStyle w:val="Heading4"/>
      </w:pPr>
      <w:r>
        <w:t>Measure Description</w:t>
      </w:r>
    </w:p>
    <w:p w14:paraId="14F02083" w14:textId="61EA4794" w:rsidR="0040700C" w:rsidRDefault="0041296A" w:rsidP="0040700C">
      <w:pPr>
        <w:ind w:left="720"/>
      </w:pPr>
      <w:r>
        <w:t>This measure involves the replacement of gaseous hydrogen produced through steam-methane reforming (SMR)</w:t>
      </w:r>
      <w:r w:rsidR="00335F52">
        <w:t xml:space="preserve"> without carbon capture and sequestration</w:t>
      </w:r>
      <w:r>
        <w:t xml:space="preserve">, commonly referred to as </w:t>
      </w:r>
      <w:r w:rsidR="007D7FF5">
        <w:t>grey</w:t>
      </w:r>
      <w:r>
        <w:t xml:space="preserve"> hydrogen, </w:t>
      </w:r>
      <w:r w:rsidR="003309E0">
        <w:t xml:space="preserve">used in the thermal sector </w:t>
      </w:r>
      <w:r>
        <w:t xml:space="preserve">with </w:t>
      </w:r>
      <w:r w:rsidR="00EE1FA8">
        <w:t xml:space="preserve">gaseous </w:t>
      </w:r>
      <w:r>
        <w:t xml:space="preserve">hydrogen produced </w:t>
      </w:r>
      <w:r w:rsidR="00932092">
        <w:t xml:space="preserve">through electrolysis powered </w:t>
      </w:r>
      <w:r w:rsidR="00EE1FA8">
        <w:t xml:space="preserve">from dedicated renewables, </w:t>
      </w:r>
      <w:r>
        <w:t xml:space="preserve">commonly referred to as </w:t>
      </w:r>
      <w:r w:rsidR="00AF7C95">
        <w:t>“</w:t>
      </w:r>
      <w:r>
        <w:t>green hydrogen</w:t>
      </w:r>
      <w:r w:rsidR="003309E0">
        <w:t>.”</w:t>
      </w:r>
      <w:r>
        <w:t xml:space="preserve"> </w:t>
      </w:r>
      <w:r w:rsidR="00932092">
        <w:t xml:space="preserve">Hydrogen produced through </w:t>
      </w:r>
      <w:proofErr w:type="gramStart"/>
      <w:r w:rsidR="00932092">
        <w:t>SMR</w:t>
      </w:r>
      <w:proofErr w:type="gramEnd"/>
      <w:r w:rsidR="00932092">
        <w:t xml:space="preserve"> or electrolysis</w:t>
      </w:r>
      <w:r w:rsidR="0040700C">
        <w:t xml:space="preserve"> are chemically identical and can be directly substituted for one another in thermal </w:t>
      </w:r>
      <w:proofErr w:type="spellStart"/>
      <w:r w:rsidR="0040700C">
        <w:t>enduses</w:t>
      </w:r>
      <w:proofErr w:type="spellEnd"/>
      <w:r w:rsidR="0040700C">
        <w:t xml:space="preserve">; this measure assumes that the green hydrogen is used as a drop-in replacement for an existing use of </w:t>
      </w:r>
      <w:r w:rsidR="007D7FF5">
        <w:t>grey</w:t>
      </w:r>
      <w:r w:rsidR="0040700C">
        <w:t xml:space="preserve"> hydrogen.</w:t>
      </w:r>
    </w:p>
    <w:p w14:paraId="648192F8" w14:textId="7A0DB86F" w:rsidR="003309E0" w:rsidRDefault="0040700C" w:rsidP="0041296A">
      <w:pPr>
        <w:ind w:left="720"/>
      </w:pPr>
      <w:r>
        <w:t xml:space="preserve">This </w:t>
      </w:r>
      <w:r w:rsidR="00EE1FA8">
        <w:t>measure characterizes</w:t>
      </w:r>
      <w:r w:rsidR="003309E0">
        <w:t xml:space="preserve"> gaseous</w:t>
      </w:r>
      <w:r w:rsidR="00EE1FA8">
        <w:t xml:space="preserve"> </w:t>
      </w:r>
      <w:r w:rsidR="003309E0">
        <w:t>green hydrogen</w:t>
      </w:r>
      <w:r w:rsidR="00AF7C95">
        <w:t xml:space="preserve"> pr</w:t>
      </w:r>
      <w:r w:rsidR="003309E0">
        <w:t>oduced through</w:t>
      </w:r>
      <w:r w:rsidR="00EE1FA8">
        <w:t xml:space="preserve"> p</w:t>
      </w:r>
      <w:r w:rsidR="00EE1FA8" w:rsidRPr="001A7607">
        <w:t xml:space="preserve">olymer </w:t>
      </w:r>
      <w:r w:rsidR="00EE1FA8">
        <w:t>e</w:t>
      </w:r>
      <w:r w:rsidR="00EE1FA8" w:rsidRPr="001A7607">
        <w:t xml:space="preserve">lectrolyte </w:t>
      </w:r>
      <w:r w:rsidR="00EE1FA8">
        <w:t>m</w:t>
      </w:r>
      <w:r w:rsidR="00EE1FA8" w:rsidRPr="001A7607">
        <w:t>embrane</w:t>
      </w:r>
      <w:r w:rsidR="00EE1FA8">
        <w:t xml:space="preserve"> (PEM) electrolysis at a centralized plant</w:t>
      </w:r>
      <w:r w:rsidR="0041296A">
        <w:t xml:space="preserve">. </w:t>
      </w:r>
      <w:r w:rsidR="00217303">
        <w:t xml:space="preserve">This measure does not characterize the liquid forms of </w:t>
      </w:r>
      <w:r w:rsidR="007D7FF5">
        <w:t>grey</w:t>
      </w:r>
      <w:r w:rsidR="00217303">
        <w:t xml:space="preserve"> and green hydrogen, which must undergo </w:t>
      </w:r>
      <w:r w:rsidR="00587AAF">
        <w:t xml:space="preserve">additional </w:t>
      </w:r>
      <w:r w:rsidR="00217303">
        <w:t xml:space="preserve">energy and carbon intensive steps in production, including liquefaction and cryogenic storage, and is </w:t>
      </w:r>
      <w:r w:rsidR="00587AAF">
        <w:t xml:space="preserve">susceptible </w:t>
      </w:r>
      <w:r w:rsidR="00217303">
        <w:t xml:space="preserve">to boil-off of hydrogen during transport and storage. </w:t>
      </w:r>
    </w:p>
    <w:p w14:paraId="75ECA9BE" w14:textId="69BDD7E8" w:rsidR="0041296A" w:rsidRDefault="0041296A" w:rsidP="0041296A">
      <w:pPr>
        <w:ind w:left="720"/>
      </w:pPr>
      <w:r>
        <w:t xml:space="preserve">Greenhouse gas reductions </w:t>
      </w:r>
      <w:r w:rsidR="00EE1FA8">
        <w:t xml:space="preserve">associated with this measure are derived from the </w:t>
      </w:r>
      <w:r>
        <w:t xml:space="preserve">difference in </w:t>
      </w:r>
      <w:r w:rsidR="00E03AB9">
        <w:t>carbon intensity values</w:t>
      </w:r>
      <w:r>
        <w:t xml:space="preserve"> (gCO</w:t>
      </w:r>
      <w:r w:rsidRPr="00257E63">
        <w:rPr>
          <w:vertAlign w:val="subscript"/>
        </w:rPr>
        <w:t>2</w:t>
      </w:r>
      <w:r>
        <w:t xml:space="preserve">e/MJ) </w:t>
      </w:r>
      <w:r w:rsidR="00257E63">
        <w:t>between SMR</w:t>
      </w:r>
      <w:r w:rsidR="00FF5724">
        <w:t>-</w:t>
      </w:r>
      <w:r w:rsidR="00AF7C95">
        <w:t>produced</w:t>
      </w:r>
      <w:r w:rsidR="00EE1FA8">
        <w:t xml:space="preserve"> </w:t>
      </w:r>
      <w:r w:rsidR="003309E0">
        <w:t xml:space="preserve">gaseous </w:t>
      </w:r>
      <w:r w:rsidR="00EE1FA8">
        <w:t xml:space="preserve">hydrogen and </w:t>
      </w:r>
      <w:r w:rsidR="00217303">
        <w:t xml:space="preserve">gaseous </w:t>
      </w:r>
      <w:r w:rsidR="00EE1FA8">
        <w:t>green hydrogen</w:t>
      </w:r>
      <w:r>
        <w:t>.</w:t>
      </w:r>
      <w:r w:rsidR="003309E0">
        <w:t xml:space="preserve"> </w:t>
      </w:r>
    </w:p>
    <w:p w14:paraId="1338CBF2" w14:textId="77777777" w:rsidR="0041296A" w:rsidRDefault="0041296A" w:rsidP="0041296A">
      <w:pPr>
        <w:ind w:firstLine="720"/>
        <w:rPr>
          <w:b/>
          <w:bCs/>
        </w:rPr>
      </w:pPr>
      <w:r>
        <w:rPr>
          <w:b/>
          <w:bCs/>
        </w:rPr>
        <w:t>Baseline Conditions</w:t>
      </w:r>
    </w:p>
    <w:p w14:paraId="04F4C860" w14:textId="3F34F99E" w:rsidR="0041296A" w:rsidRDefault="0041296A" w:rsidP="0041296A">
      <w:pPr>
        <w:ind w:left="720"/>
      </w:pPr>
      <w:r>
        <w:t xml:space="preserve">The baseline condition is </w:t>
      </w:r>
      <w:r w:rsidR="00257E63">
        <w:t xml:space="preserve">the </w:t>
      </w:r>
      <w:r>
        <w:t xml:space="preserve">use of </w:t>
      </w:r>
      <w:r w:rsidR="00217303">
        <w:t xml:space="preserve">gaseous </w:t>
      </w:r>
      <w:r w:rsidR="007D7FF5">
        <w:t>grey</w:t>
      </w:r>
      <w:r>
        <w:t xml:space="preserve"> hydrogen </w:t>
      </w:r>
      <w:r w:rsidR="00AF7C95">
        <w:t xml:space="preserve">produced through </w:t>
      </w:r>
      <w:r w:rsidR="00FF5724">
        <w:t xml:space="preserve">SMR </w:t>
      </w:r>
      <w:r w:rsidR="00AF7C95">
        <w:t>in the thermal sector</w:t>
      </w:r>
      <w:r w:rsidR="00FF5724">
        <w:t xml:space="preserve"> </w:t>
      </w:r>
      <w:r w:rsidR="00257E63">
        <w:t>that</w:t>
      </w:r>
      <w:r w:rsidR="00AF7C95">
        <w:t xml:space="preserve"> </w:t>
      </w:r>
      <w:r>
        <w:t xml:space="preserve">is delivered to the end-user through truck delivery. </w:t>
      </w:r>
      <w:r w:rsidR="00EE1FA8" w:rsidRPr="00EE1FA8">
        <w:t>Other baseline conditions are not characterized for this measure</w:t>
      </w:r>
      <w:r>
        <w:t>.</w:t>
      </w:r>
    </w:p>
    <w:p w14:paraId="3DB7CCF6" w14:textId="77777777" w:rsidR="0041296A" w:rsidRDefault="0041296A" w:rsidP="0041296A">
      <w:pPr>
        <w:ind w:firstLine="720"/>
        <w:rPr>
          <w:b/>
          <w:bCs/>
        </w:rPr>
      </w:pPr>
      <w:r>
        <w:rPr>
          <w:b/>
          <w:bCs/>
        </w:rPr>
        <w:t>Proposed Conditions</w:t>
      </w:r>
    </w:p>
    <w:p w14:paraId="36D0DA55" w14:textId="11F877FF" w:rsidR="00EE1FA8" w:rsidRDefault="00EE1FA8" w:rsidP="0041296A">
      <w:pPr>
        <w:ind w:left="720"/>
      </w:pPr>
      <w:r w:rsidRPr="00EE1FA8">
        <w:t xml:space="preserve">The proposed condition is the use of </w:t>
      </w:r>
      <w:r w:rsidR="00217303">
        <w:t xml:space="preserve">gaseous </w:t>
      </w:r>
      <w:r>
        <w:t>green hydrogen</w:t>
      </w:r>
      <w:r w:rsidR="00AF7C95">
        <w:t xml:space="preserve"> used</w:t>
      </w:r>
      <w:r>
        <w:t xml:space="preserve"> </w:t>
      </w:r>
      <w:r w:rsidRPr="00EE1FA8">
        <w:t xml:space="preserve">in the thermal sector that is distributed to end users through a truck delivery service. </w:t>
      </w:r>
      <w:r w:rsidR="00217303">
        <w:t>G</w:t>
      </w:r>
      <w:r>
        <w:t>reen hydrogen</w:t>
      </w:r>
      <w:r w:rsidRPr="00EE1FA8">
        <w:t xml:space="preserve"> production pathways (and therefore carbon intensity values) include </w:t>
      </w:r>
      <w:r>
        <w:t xml:space="preserve">feedstock collection, fuel production, </w:t>
      </w:r>
      <w:r w:rsidRPr="00EE1FA8">
        <w:t>and transport of fuels to distributors. Emissions resulting from the distribution of fuels from the distributor to the end user are presumed equal between the proposed and baseline conditions since truck delivery is assumed in both.</w:t>
      </w:r>
    </w:p>
    <w:p w14:paraId="396A1C38" w14:textId="130B4DC0" w:rsidR="0041296A" w:rsidRDefault="0041296A" w:rsidP="0041296A">
      <w:pPr>
        <w:pStyle w:val="Heading4"/>
      </w:pPr>
      <w:r>
        <w:lastRenderedPageBreak/>
        <w:t xml:space="preserve">Eligibility </w:t>
      </w:r>
      <w:r w:rsidR="00941CD9">
        <w:t>Criteria</w:t>
      </w:r>
    </w:p>
    <w:p w14:paraId="38AA8D6D" w14:textId="6DB84FFA" w:rsidR="00EE1FA8" w:rsidRDefault="00EE1FA8" w:rsidP="00941CD9">
      <w:bookmarkStart w:id="4" w:name="_Hlk175650852"/>
      <w:r>
        <w:t xml:space="preserve">This measure characterizes </w:t>
      </w:r>
      <w:r w:rsidR="00217303">
        <w:t xml:space="preserve">gaseous </w:t>
      </w:r>
      <w:r>
        <w:t>hydrogen used in the thermal sector under a certain set of conditions. Specifically:</w:t>
      </w:r>
    </w:p>
    <w:p w14:paraId="7E340480" w14:textId="478C64A7" w:rsidR="00587AAF" w:rsidRDefault="0041296A" w:rsidP="00136622">
      <w:pPr>
        <w:pStyle w:val="ListBullet"/>
      </w:pPr>
      <w:r>
        <w:t xml:space="preserve">The </w:t>
      </w:r>
      <w:r w:rsidR="0013481F">
        <w:t>carbon intensity value for green hydrogen is</w:t>
      </w:r>
      <w:r>
        <w:t xml:space="preserve"> characterized </w:t>
      </w:r>
      <w:proofErr w:type="gramStart"/>
      <w:r w:rsidR="00136622">
        <w:t>for</w:t>
      </w:r>
      <w:proofErr w:type="gramEnd"/>
      <w:r w:rsidR="00136622">
        <w:t xml:space="preserve"> </w:t>
      </w:r>
      <w:r>
        <w:t>PEM electrolysis</w:t>
      </w:r>
      <w:r w:rsidR="00136622">
        <w:t xml:space="preserve"> using dedicated renewables as the energy source</w:t>
      </w:r>
      <w:r>
        <w:t xml:space="preserve">. Other pathways, such as nuclear-powered electrolysis are not eligible for this measure. </w:t>
      </w:r>
      <w:bookmarkEnd w:id="4"/>
    </w:p>
    <w:p w14:paraId="6EA625B3" w14:textId="4EE26804" w:rsidR="00136622" w:rsidRDefault="00136622" w:rsidP="00587AAF">
      <w:r>
        <w:t xml:space="preserve">This measure does not characterize the use of </w:t>
      </w:r>
      <w:r w:rsidR="00587AAF">
        <w:t>hydrogen</w:t>
      </w:r>
      <w:r>
        <w:t xml:space="preserve"> in the thermal sector that does not meet </w:t>
      </w:r>
      <w:r w:rsidR="0013481F">
        <w:t xml:space="preserve">this </w:t>
      </w:r>
      <w:r>
        <w:t>above condition</w:t>
      </w:r>
      <w:r w:rsidR="0013481F">
        <w:t>.</w:t>
      </w:r>
    </w:p>
    <w:p w14:paraId="77012941" w14:textId="1F7372A5" w:rsidR="00136622" w:rsidRDefault="00136622" w:rsidP="00136622">
      <w:r>
        <w:t xml:space="preserve">Certain uses of </w:t>
      </w:r>
      <w:r w:rsidR="00587AAF">
        <w:t>hydrogen</w:t>
      </w:r>
      <w:r>
        <w:t xml:space="preserve"> are not eligible for clean heat credits:</w:t>
      </w:r>
    </w:p>
    <w:p w14:paraId="02988BBE" w14:textId="170CB332" w:rsidR="00136622" w:rsidRDefault="00587AAF" w:rsidP="00136622">
      <w:pPr>
        <w:pStyle w:val="ListBullet"/>
      </w:pPr>
      <w:r>
        <w:t>Hydrogen</w:t>
      </w:r>
      <w:r w:rsidR="00136622">
        <w:t xml:space="preserve"> distributed to an electricity generating unit (EGU) is not part of the thermal sector and therefore is not eligible for clean heat credits.</w:t>
      </w:r>
    </w:p>
    <w:p w14:paraId="5A686C7A" w14:textId="4F262688" w:rsidR="00136622" w:rsidRDefault="00587AAF" w:rsidP="00136622">
      <w:pPr>
        <w:pStyle w:val="ListBullet"/>
      </w:pPr>
      <w:r>
        <w:t>Hydrogen</w:t>
      </w:r>
      <w:r w:rsidR="00136622">
        <w:t xml:space="preserve"> distributed to an industrial facility must be verified as being used in the thermal sector. </w:t>
      </w:r>
      <w:r>
        <w:t>Hydrogen</w:t>
      </w:r>
      <w:r w:rsidR="00136622">
        <w:t xml:space="preserve"> itself used as a material feedstock in production of a good or otherwise used outside of the thermal sector is ineligible for clean heat credits.</w:t>
      </w:r>
      <w:bookmarkStart w:id="5" w:name="_Hlk175650941"/>
      <w:r w:rsidR="00136622" w:rsidRPr="00136622">
        <w:t xml:space="preserve"> </w:t>
      </w:r>
    </w:p>
    <w:bookmarkEnd w:id="5"/>
    <w:p w14:paraId="61B148CB" w14:textId="2561C625" w:rsidR="0041296A" w:rsidRDefault="0041296A" w:rsidP="0041296A">
      <w:pPr>
        <w:pStyle w:val="Heading4"/>
      </w:pPr>
      <w:r w:rsidRPr="00C36178">
        <w:t>Decarbonization</w:t>
      </w:r>
      <w:r>
        <w:t xml:space="preserve"> </w:t>
      </w:r>
      <w:r w:rsidR="00941CD9">
        <w:t>Summary</w:t>
      </w:r>
    </w:p>
    <w:bookmarkStart w:id="6" w:name="_Hlk175150164"/>
    <w:p w14:paraId="6942759A" w14:textId="7FBBB244" w:rsidR="0041296A" w:rsidRDefault="003A3E79" w:rsidP="0041296A">
      <w:pPr>
        <w:ind w:left="720"/>
      </w:pPr>
      <w:r>
        <w:fldChar w:fldCharType="begin"/>
      </w:r>
      <w:r>
        <w:instrText xml:space="preserve"> REF _Ref176249515 \h </w:instrText>
      </w:r>
      <w:r>
        <w:fldChar w:fldCharType="separate"/>
      </w:r>
      <w:r w:rsidR="008F724F">
        <w:t xml:space="preserve">Table </w:t>
      </w:r>
      <w:r w:rsidR="008F724F">
        <w:rPr>
          <w:noProof/>
        </w:rPr>
        <w:t>1</w:t>
      </w:r>
      <w:r>
        <w:fldChar w:fldCharType="end"/>
      </w:r>
      <w:r>
        <w:t xml:space="preserve"> </w:t>
      </w:r>
      <w:r w:rsidR="0041296A" w:rsidRPr="00AF1550">
        <w:t xml:space="preserve">provides </w:t>
      </w:r>
      <w:r w:rsidR="0041296A">
        <w:t xml:space="preserve">the </w:t>
      </w:r>
      <w:r w:rsidR="0041296A" w:rsidRPr="00AF1550">
        <w:t xml:space="preserve">estimated </w:t>
      </w:r>
      <w:r w:rsidR="0041296A">
        <w:t xml:space="preserve">2025 decarbonization range for replacement of </w:t>
      </w:r>
      <w:r w:rsidR="00257E63">
        <w:t>grey</w:t>
      </w:r>
      <w:r w:rsidR="00941CD9">
        <w:t xml:space="preserve"> </w:t>
      </w:r>
      <w:r>
        <w:t xml:space="preserve">hydrogen </w:t>
      </w:r>
      <w:r w:rsidR="0041296A">
        <w:t xml:space="preserve">with </w:t>
      </w:r>
      <w:r>
        <w:t>green hydrogen</w:t>
      </w:r>
      <w:r w:rsidR="0041296A">
        <w:t xml:space="preserve"> </w:t>
      </w:r>
      <w:r>
        <w:t xml:space="preserve">under </w:t>
      </w:r>
      <w:r w:rsidR="0041296A">
        <w:t xml:space="preserve">varying </w:t>
      </w:r>
      <w:r>
        <w:t xml:space="preserve">blends of green and </w:t>
      </w:r>
      <w:r w:rsidR="00941CD9">
        <w:t xml:space="preserve">conventional </w:t>
      </w:r>
      <w:r>
        <w:t>hydrogen</w:t>
      </w:r>
      <w:r w:rsidR="0041296A">
        <w:t>. These estimates are not inclusive of all eligible conditions; other conditions may be calculated from the algorithms herein.</w:t>
      </w:r>
    </w:p>
    <w:p w14:paraId="35A67754" w14:textId="12FF7758" w:rsidR="0041296A" w:rsidRDefault="0041296A" w:rsidP="00813BC9">
      <w:pPr>
        <w:pStyle w:val="Caption"/>
      </w:pPr>
      <w:bookmarkStart w:id="7" w:name="_Ref176249515"/>
      <w:r>
        <w:t xml:space="preserve">Table </w:t>
      </w:r>
      <w:r>
        <w:fldChar w:fldCharType="begin"/>
      </w:r>
      <w:r>
        <w:instrText xml:space="preserve"> SEQ Table \* ARABIC </w:instrText>
      </w:r>
      <w:r>
        <w:fldChar w:fldCharType="separate"/>
      </w:r>
      <w:r w:rsidR="008F724F">
        <w:rPr>
          <w:noProof/>
        </w:rPr>
        <w:t>1</w:t>
      </w:r>
      <w:r>
        <w:fldChar w:fldCharType="end"/>
      </w:r>
      <w:bookmarkEnd w:id="7"/>
      <w:r>
        <w:t>.</w:t>
      </w:r>
      <w:r w:rsidRPr="00897C4B">
        <w:t xml:space="preserve"> </w:t>
      </w:r>
      <w:r w:rsidR="003A3E79">
        <w:t>Green Hydrogen</w:t>
      </w:r>
      <w:r>
        <w:t xml:space="preserve"> </w:t>
      </w:r>
      <w:r w:rsidRPr="00897C4B">
        <w:t>CO</w:t>
      </w:r>
      <w:r w:rsidRPr="00941CD9">
        <w:rPr>
          <w:vertAlign w:val="subscript"/>
        </w:rPr>
        <w:t>2</w:t>
      </w:r>
      <w:r w:rsidRPr="00897C4B">
        <w:t>e Reductions</w:t>
      </w:r>
    </w:p>
    <w:tbl>
      <w:tblPr>
        <w:tblStyle w:val="ODCBasic-1"/>
        <w:tblW w:w="0" w:type="auto"/>
        <w:tblLayout w:type="fixed"/>
        <w:tblCellMar>
          <w:top w:w="0" w:type="dxa"/>
          <w:bottom w:w="14" w:type="dxa"/>
        </w:tblCellMar>
        <w:tblLook w:val="04A0" w:firstRow="1" w:lastRow="0" w:firstColumn="1" w:lastColumn="0" w:noHBand="0" w:noVBand="1"/>
      </w:tblPr>
      <w:tblGrid>
        <w:gridCol w:w="2514"/>
        <w:gridCol w:w="2649"/>
      </w:tblGrid>
      <w:tr w:rsidR="00941CD9" w14:paraId="21D92AFE" w14:textId="77777777" w:rsidTr="00C624DD">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514" w:type="dxa"/>
            <w:tcBorders>
              <w:bottom w:val="single" w:sz="4" w:space="0" w:color="4A4D56" w:themeColor="text1"/>
              <w:right w:val="single" w:sz="4" w:space="0" w:color="4A4D56" w:themeColor="text1"/>
            </w:tcBorders>
          </w:tcPr>
          <w:p w14:paraId="1347C228" w14:textId="11D46BEA" w:rsidR="00941CD9" w:rsidRPr="00625570" w:rsidRDefault="00941CD9" w:rsidP="00941CD9">
            <w:pPr>
              <w:pStyle w:val="TableHeadingLeft"/>
            </w:pPr>
            <w:r w:rsidRPr="00941CD9">
              <w:rPr>
                <w:rFonts w:asciiTheme="majorHAnsi" w:hAnsiTheme="majorHAnsi"/>
              </w:rPr>
              <w:t>Portion of Green Hydrogen in Delivered Hydrogen</w:t>
            </w:r>
          </w:p>
        </w:tc>
        <w:tc>
          <w:tcPr>
            <w:tcW w:w="2649" w:type="dxa"/>
            <w:tcBorders>
              <w:left w:val="single" w:sz="4" w:space="0" w:color="4A4D56" w:themeColor="text1"/>
              <w:bottom w:val="single" w:sz="4" w:space="0" w:color="4A4D56" w:themeColor="text1"/>
              <w:right w:val="single" w:sz="4" w:space="0" w:color="4A4D56" w:themeColor="text1"/>
            </w:tcBorders>
          </w:tcPr>
          <w:p w14:paraId="42F02497" w14:textId="5140044D" w:rsidR="00941CD9" w:rsidRPr="00625570" w:rsidRDefault="00941CD9" w:rsidP="00941CD9">
            <w:pPr>
              <w:pStyle w:val="TableHeadingCentered"/>
              <w:cnfStyle w:val="100000000000" w:firstRow="1" w:lastRow="0" w:firstColumn="0" w:lastColumn="0" w:oddVBand="0" w:evenVBand="0" w:oddHBand="0" w:evenHBand="0" w:firstRowFirstColumn="0" w:firstRowLastColumn="0" w:lastRowFirstColumn="0" w:lastRowLastColumn="0"/>
            </w:pPr>
            <w:r w:rsidRPr="00941CD9">
              <w:rPr>
                <w:rFonts w:asciiTheme="majorHAnsi" w:hAnsiTheme="majorHAnsi"/>
              </w:rPr>
              <w:t>CO</w:t>
            </w:r>
            <w:r w:rsidRPr="00941CD9">
              <w:rPr>
                <w:rFonts w:asciiTheme="majorHAnsi" w:hAnsiTheme="majorHAnsi"/>
                <w:vertAlign w:val="subscript"/>
              </w:rPr>
              <w:t>2</w:t>
            </w:r>
            <w:r w:rsidRPr="00941CD9">
              <w:rPr>
                <w:rFonts w:asciiTheme="majorHAnsi" w:hAnsiTheme="majorHAnsi"/>
              </w:rPr>
              <w:t xml:space="preserve">e Reduction </w:t>
            </w:r>
            <w:r w:rsidR="00E24A4F">
              <w:rPr>
                <w:rFonts w:asciiTheme="majorHAnsi" w:hAnsiTheme="majorHAnsi"/>
              </w:rPr>
              <w:t>per</w:t>
            </w:r>
            <w:r w:rsidR="00E24A4F" w:rsidRPr="00941CD9">
              <w:rPr>
                <w:rFonts w:asciiTheme="majorHAnsi" w:hAnsiTheme="majorHAnsi"/>
              </w:rPr>
              <w:t xml:space="preserve"> </w:t>
            </w:r>
            <w:r w:rsidR="00E24A4F">
              <w:rPr>
                <w:rFonts w:asciiTheme="majorHAnsi" w:hAnsiTheme="majorHAnsi"/>
              </w:rPr>
              <w:t>Kilogram</w:t>
            </w:r>
            <w:r w:rsidR="00E24A4F" w:rsidRPr="00941CD9">
              <w:rPr>
                <w:rFonts w:asciiTheme="majorHAnsi" w:hAnsiTheme="majorHAnsi"/>
              </w:rPr>
              <w:t xml:space="preserve"> </w:t>
            </w:r>
            <w:r w:rsidRPr="00941CD9">
              <w:rPr>
                <w:rFonts w:asciiTheme="majorHAnsi" w:hAnsiTheme="majorHAnsi"/>
              </w:rPr>
              <w:t>[gCO</w:t>
            </w:r>
            <w:r w:rsidRPr="00941CD9">
              <w:rPr>
                <w:rFonts w:asciiTheme="majorHAnsi" w:hAnsiTheme="majorHAnsi"/>
                <w:vertAlign w:val="subscript"/>
              </w:rPr>
              <w:t>2</w:t>
            </w:r>
            <w:r w:rsidRPr="00941CD9">
              <w:rPr>
                <w:rFonts w:asciiTheme="majorHAnsi" w:hAnsiTheme="majorHAnsi"/>
              </w:rPr>
              <w:t>e/kg] in 2025</w:t>
            </w:r>
          </w:p>
        </w:tc>
      </w:tr>
      <w:tr w:rsidR="00941CD9" w14:paraId="2E67AB26" w14:textId="77777777" w:rsidTr="00C624DD">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514" w:type="dxa"/>
            <w:tcBorders>
              <w:top w:val="single" w:sz="4" w:space="0" w:color="4A4D56" w:themeColor="text1"/>
            </w:tcBorders>
          </w:tcPr>
          <w:p w14:paraId="23530F0B" w14:textId="2D9728A7" w:rsidR="00941CD9" w:rsidRPr="00625570" w:rsidRDefault="00941CD9" w:rsidP="00941CD9">
            <w:pPr>
              <w:pStyle w:val="TableLeftText"/>
            </w:pPr>
            <w:r>
              <w:t>20% Green Hydrogen</w:t>
            </w:r>
          </w:p>
        </w:tc>
        <w:tc>
          <w:tcPr>
            <w:tcW w:w="2649" w:type="dxa"/>
            <w:tcBorders>
              <w:top w:val="single" w:sz="4" w:space="0" w:color="4A4D56" w:themeColor="text1"/>
            </w:tcBorders>
          </w:tcPr>
          <w:p w14:paraId="4474D863" w14:textId="1AFF5D6C" w:rsidR="00941CD9" w:rsidRPr="000B7901" w:rsidRDefault="00941CD9" w:rsidP="00941CD9">
            <w:pPr>
              <w:pStyle w:val="TableCenterText"/>
              <w:cnfStyle w:val="000000100000" w:firstRow="0" w:lastRow="0" w:firstColumn="0" w:lastColumn="0" w:oddVBand="0" w:evenVBand="0" w:oddHBand="1" w:evenHBand="0" w:firstRowFirstColumn="0" w:firstRowLastColumn="0" w:lastRowFirstColumn="0" w:lastRowLastColumn="0"/>
            </w:pPr>
            <w:r w:rsidRPr="00C1729F">
              <w:t>2,036</w:t>
            </w:r>
          </w:p>
        </w:tc>
      </w:tr>
      <w:tr w:rsidR="00941CD9" w14:paraId="3BE77E30" w14:textId="77777777" w:rsidTr="00C624DD">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514" w:type="dxa"/>
          </w:tcPr>
          <w:p w14:paraId="5A1DA89F" w14:textId="5ACE5D20" w:rsidR="00941CD9" w:rsidRPr="00625570" w:rsidRDefault="00941CD9" w:rsidP="00941CD9">
            <w:pPr>
              <w:pStyle w:val="TableLeftText"/>
            </w:pPr>
            <w:r>
              <w:t>40% Green Hydrogen</w:t>
            </w:r>
          </w:p>
        </w:tc>
        <w:tc>
          <w:tcPr>
            <w:tcW w:w="2649" w:type="dxa"/>
          </w:tcPr>
          <w:p w14:paraId="3EDAB11B" w14:textId="39D77821" w:rsidR="00941CD9" w:rsidRPr="000B7901" w:rsidRDefault="00941CD9" w:rsidP="00941CD9">
            <w:pPr>
              <w:pStyle w:val="TableCenterText"/>
              <w:cnfStyle w:val="000000010000" w:firstRow="0" w:lastRow="0" w:firstColumn="0" w:lastColumn="0" w:oddVBand="0" w:evenVBand="0" w:oddHBand="0" w:evenHBand="1" w:firstRowFirstColumn="0" w:firstRowLastColumn="0" w:lastRowFirstColumn="0" w:lastRowLastColumn="0"/>
            </w:pPr>
            <w:r w:rsidRPr="00C1729F">
              <w:t>4,072</w:t>
            </w:r>
          </w:p>
        </w:tc>
      </w:tr>
      <w:tr w:rsidR="00941CD9" w14:paraId="643DBC42" w14:textId="77777777" w:rsidTr="00C624DD">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514" w:type="dxa"/>
          </w:tcPr>
          <w:p w14:paraId="3AE0DB05" w14:textId="1BCC7F35" w:rsidR="00941CD9" w:rsidRPr="00625570" w:rsidRDefault="00941CD9" w:rsidP="00941CD9">
            <w:pPr>
              <w:pStyle w:val="TableLeftText"/>
            </w:pPr>
            <w:r>
              <w:t>60% Green Hydrogen</w:t>
            </w:r>
          </w:p>
        </w:tc>
        <w:tc>
          <w:tcPr>
            <w:tcW w:w="2649" w:type="dxa"/>
          </w:tcPr>
          <w:p w14:paraId="5F3F11A7" w14:textId="0F38C616" w:rsidR="00941CD9" w:rsidRPr="000B7901" w:rsidRDefault="00941CD9" w:rsidP="00941CD9">
            <w:pPr>
              <w:pStyle w:val="TableCenterText"/>
              <w:cnfStyle w:val="000000100000" w:firstRow="0" w:lastRow="0" w:firstColumn="0" w:lastColumn="0" w:oddVBand="0" w:evenVBand="0" w:oddHBand="1" w:evenHBand="0" w:firstRowFirstColumn="0" w:firstRowLastColumn="0" w:lastRowFirstColumn="0" w:lastRowLastColumn="0"/>
            </w:pPr>
            <w:r w:rsidRPr="00C1729F">
              <w:t>6,108</w:t>
            </w:r>
          </w:p>
        </w:tc>
      </w:tr>
      <w:tr w:rsidR="00941CD9" w14:paraId="2697593A" w14:textId="77777777" w:rsidTr="00C624DD">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514" w:type="dxa"/>
          </w:tcPr>
          <w:p w14:paraId="2F6C113D" w14:textId="6656541A" w:rsidR="00941CD9" w:rsidRPr="00625570" w:rsidRDefault="00941CD9" w:rsidP="00941CD9">
            <w:pPr>
              <w:pStyle w:val="TableLeftText"/>
            </w:pPr>
            <w:r>
              <w:t>80% Green Hydrogen</w:t>
            </w:r>
          </w:p>
        </w:tc>
        <w:tc>
          <w:tcPr>
            <w:tcW w:w="2649" w:type="dxa"/>
          </w:tcPr>
          <w:p w14:paraId="5FDE12CC" w14:textId="18E555CB" w:rsidR="00941CD9" w:rsidRPr="000B7901" w:rsidRDefault="00941CD9" w:rsidP="00941CD9">
            <w:pPr>
              <w:pStyle w:val="TableCenterText"/>
              <w:cnfStyle w:val="000000010000" w:firstRow="0" w:lastRow="0" w:firstColumn="0" w:lastColumn="0" w:oddVBand="0" w:evenVBand="0" w:oddHBand="0" w:evenHBand="1" w:firstRowFirstColumn="0" w:firstRowLastColumn="0" w:lastRowFirstColumn="0" w:lastRowLastColumn="0"/>
            </w:pPr>
            <w:r w:rsidRPr="00C1729F">
              <w:t>8,143</w:t>
            </w:r>
          </w:p>
        </w:tc>
      </w:tr>
      <w:tr w:rsidR="00941CD9" w14:paraId="50534782" w14:textId="77777777" w:rsidTr="00C624DD">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514" w:type="dxa"/>
          </w:tcPr>
          <w:p w14:paraId="1746C95C" w14:textId="2AEA7130" w:rsidR="00941CD9" w:rsidRPr="00625570" w:rsidRDefault="00941CD9" w:rsidP="00941CD9">
            <w:pPr>
              <w:pStyle w:val="TableLeftText"/>
            </w:pPr>
            <w:r>
              <w:t>100% Green Hydrogen</w:t>
            </w:r>
          </w:p>
        </w:tc>
        <w:tc>
          <w:tcPr>
            <w:tcW w:w="2649" w:type="dxa"/>
          </w:tcPr>
          <w:p w14:paraId="11A7863F" w14:textId="7F04F61B" w:rsidR="00941CD9" w:rsidRPr="000B7901" w:rsidRDefault="00941CD9" w:rsidP="00941CD9">
            <w:pPr>
              <w:pStyle w:val="TableCenterText"/>
              <w:cnfStyle w:val="000000100000" w:firstRow="0" w:lastRow="0" w:firstColumn="0" w:lastColumn="0" w:oddVBand="0" w:evenVBand="0" w:oddHBand="1" w:evenHBand="0" w:firstRowFirstColumn="0" w:firstRowLastColumn="0" w:lastRowFirstColumn="0" w:lastRowLastColumn="0"/>
            </w:pPr>
            <w:r w:rsidRPr="00C1729F">
              <w:t>10,179</w:t>
            </w:r>
          </w:p>
        </w:tc>
      </w:tr>
    </w:tbl>
    <w:p w14:paraId="708FC35F" w14:textId="4D860FA9" w:rsidR="0041296A" w:rsidRDefault="0041296A" w:rsidP="0041296A">
      <w:pPr>
        <w:pStyle w:val="Heading4"/>
      </w:pPr>
      <w:bookmarkStart w:id="8" w:name="_Ref175653910"/>
      <w:bookmarkEnd w:id="6"/>
      <w:r>
        <w:t xml:space="preserve">Decarbonization </w:t>
      </w:r>
      <w:r w:rsidRPr="00AF1550">
        <w:t xml:space="preserve">and Energy </w:t>
      </w:r>
      <w:r w:rsidR="00941CD9">
        <w:t>I</w:t>
      </w:r>
      <w:r w:rsidR="00941CD9" w:rsidRPr="00AF1550">
        <w:t xml:space="preserve">mpacts </w:t>
      </w:r>
      <w:r>
        <w:t>Algorithms</w:t>
      </w:r>
      <w:bookmarkEnd w:id="8"/>
    </w:p>
    <w:p w14:paraId="564714E9" w14:textId="4331D2FE" w:rsidR="0041296A" w:rsidRPr="00AF1550" w:rsidRDefault="0041296A" w:rsidP="0041296A">
      <w:r w:rsidRPr="00AF1550">
        <w:tab/>
        <w:t>CO</w:t>
      </w:r>
      <w:r w:rsidRPr="00C624DD">
        <w:rPr>
          <w:vertAlign w:val="subscript"/>
        </w:rPr>
        <w:t>2</w:t>
      </w:r>
      <w:r w:rsidRPr="00AF1550">
        <w:t>e (g CO</w:t>
      </w:r>
      <w:r w:rsidRPr="00C624DD">
        <w:rPr>
          <w:vertAlign w:val="subscript"/>
        </w:rPr>
        <w:t>2</w:t>
      </w:r>
      <w:r w:rsidRPr="00AF1550">
        <w:t xml:space="preserve">e) = </w:t>
      </w:r>
      <m:oMath>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base</m:t>
                </m:r>
              </m:sub>
            </m:sSub>
            <m:r>
              <w:rPr>
                <w:rFonts w:ascii="Cambria Math" w:hAnsi="Cambria Math"/>
              </w:rPr>
              <m:t>-</m:t>
            </m:r>
            <m:sSub>
              <m:sSubPr>
                <m:ctrlPr>
                  <w:rPr>
                    <w:rFonts w:ascii="Cambria Math" w:hAnsi="Cambria Math"/>
                    <w:i/>
                  </w:rPr>
                </m:ctrlPr>
              </m:sSubPr>
              <m:e>
                <m:r>
                  <w:rPr>
                    <w:rFonts w:ascii="Cambria Math" w:hAnsi="Cambria Math"/>
                  </w:rPr>
                  <m:t>CI</m:t>
                </m:r>
              </m:e>
              <m:sub>
                <m:r>
                  <w:rPr>
                    <w:rFonts w:ascii="Cambria Math" w:hAnsi="Cambria Math"/>
                  </w:rPr>
                  <m:t>prop</m:t>
                </m:r>
              </m:sub>
            </m:sSub>
          </m:e>
        </m:d>
        <m:r>
          <w:rPr>
            <w:rFonts w:ascii="Cambria Math" w:hAnsi="Cambria Math"/>
          </w:rPr>
          <m:t>×E</m:t>
        </m:r>
      </m:oMath>
    </w:p>
    <w:p w14:paraId="231CFA1F" w14:textId="32CBB06D" w:rsidR="006B6105" w:rsidRPr="00AF1550" w:rsidRDefault="00A86DE3" w:rsidP="006B6105">
      <w:pPr>
        <w:ind w:left="1440"/>
      </w:pPr>
      <w:proofErr w:type="spellStart"/>
      <w:r>
        <w:t>CI</w:t>
      </w:r>
      <w:r w:rsidR="006B6105" w:rsidRPr="00AF1550">
        <w:rPr>
          <w:vertAlign w:val="subscript"/>
        </w:rPr>
        <w:t>base</w:t>
      </w:r>
      <w:proofErr w:type="spellEnd"/>
      <w:r w:rsidR="006B6105" w:rsidRPr="00AF1550">
        <w:t xml:space="preserve"> =</w:t>
      </w:r>
      <w:r w:rsidR="006B6105">
        <w:t xml:space="preserve"> </w:t>
      </w:r>
      <w:r w:rsidR="007D7FF5">
        <w:t>Grey</w:t>
      </w:r>
      <w:r w:rsidR="006B6105">
        <w:t xml:space="preserve"> hydrogen </w:t>
      </w:r>
      <w:r w:rsidR="0013481F">
        <w:t>carbon intensity value</w:t>
      </w:r>
      <w:r w:rsidR="006B6105">
        <w:t xml:space="preserve"> </w:t>
      </w:r>
      <w:r w:rsidR="00E24A4F">
        <w:t>(</w:t>
      </w:r>
      <w:r w:rsidR="006B6105">
        <w:t>gCO</w:t>
      </w:r>
      <w:r w:rsidR="006B6105" w:rsidRPr="00E03B38">
        <w:rPr>
          <w:vertAlign w:val="subscript"/>
        </w:rPr>
        <w:t>2</w:t>
      </w:r>
      <w:r w:rsidR="006B6105" w:rsidRPr="00A45E83">
        <w:t>e</w:t>
      </w:r>
      <w:r w:rsidR="006B6105">
        <w:t>/MJ</w:t>
      </w:r>
      <w:r w:rsidR="00E24A4F">
        <w:t>)</w:t>
      </w:r>
      <w:r w:rsidR="006B6105">
        <w:t xml:space="preserve">. </w:t>
      </w:r>
      <w:commentRangeStart w:id="9"/>
      <w:r w:rsidR="00257E63">
        <w:t>Varies by year; see &lt;EMISSIONS SCHEDULE&gt; in &lt;FRONT MATTER SECTION&gt;.</w:t>
      </w:r>
      <w:commentRangeEnd w:id="9"/>
      <w:r w:rsidR="00257E63">
        <w:rPr>
          <w:rStyle w:val="CommentReference"/>
        </w:rPr>
        <w:commentReference w:id="9"/>
      </w:r>
    </w:p>
    <w:p w14:paraId="29B44CE8" w14:textId="42FDF363" w:rsidR="006B6105" w:rsidRDefault="00A86DE3" w:rsidP="006B6105">
      <w:pPr>
        <w:ind w:left="1440"/>
      </w:pPr>
      <w:proofErr w:type="spellStart"/>
      <w:r>
        <w:t>CI</w:t>
      </w:r>
      <w:r w:rsidR="006B6105" w:rsidRPr="00AF1550">
        <w:rPr>
          <w:vertAlign w:val="subscript"/>
        </w:rPr>
        <w:t>prop</w:t>
      </w:r>
      <w:proofErr w:type="spellEnd"/>
      <w:r w:rsidR="006B6105" w:rsidRPr="00AF1550">
        <w:t xml:space="preserve"> = </w:t>
      </w:r>
      <w:r w:rsidR="006B6105">
        <w:t>Green hydrogen</w:t>
      </w:r>
      <w:r w:rsidR="006B6105" w:rsidRPr="00AF1550">
        <w:t xml:space="preserve"> </w:t>
      </w:r>
      <w:r w:rsidR="0013481F">
        <w:t>carbon intensity value</w:t>
      </w:r>
      <w:r w:rsidR="006B6105">
        <w:t xml:space="preserve"> </w:t>
      </w:r>
      <w:r w:rsidR="00E24A4F">
        <w:t>(</w:t>
      </w:r>
      <w:r w:rsidR="006B6105">
        <w:t>gCO</w:t>
      </w:r>
      <w:r w:rsidR="006B6105" w:rsidRPr="00E03B38">
        <w:rPr>
          <w:vertAlign w:val="subscript"/>
        </w:rPr>
        <w:t>2</w:t>
      </w:r>
      <w:r w:rsidR="006B6105" w:rsidRPr="00A45E83">
        <w:t>e</w:t>
      </w:r>
      <w:r w:rsidR="006B6105">
        <w:t>/MJ</w:t>
      </w:r>
      <w:r w:rsidR="00E24A4F">
        <w:t>)</w:t>
      </w:r>
      <w:r w:rsidR="006B6105" w:rsidRPr="00AF1550">
        <w:t xml:space="preserve">. </w:t>
      </w:r>
      <w:r w:rsidR="00257E63">
        <w:t>Varies by year; see &lt;EMISSIONS SCHEDULE&gt; in &lt;FRONT MATTER SECTION&gt;.</w:t>
      </w:r>
      <w:r w:rsidR="006B6105" w:rsidRPr="00AF1550">
        <w:t xml:space="preserve"> </w:t>
      </w:r>
      <w:r w:rsidR="006B6105">
        <w:t xml:space="preserve">If a blend of green and </w:t>
      </w:r>
      <w:r w:rsidR="007D7FF5">
        <w:t>grey</w:t>
      </w:r>
      <w:r w:rsidR="006B6105">
        <w:t xml:space="preserve"> hydrogen is used, calculate the correct </w:t>
      </w:r>
      <w:proofErr w:type="spellStart"/>
      <w:r>
        <w:t>CI</w:t>
      </w:r>
      <w:r w:rsidR="006B6105">
        <w:rPr>
          <w:vertAlign w:val="subscript"/>
        </w:rPr>
        <w:t>prop</w:t>
      </w:r>
      <w:proofErr w:type="spellEnd"/>
      <w:r w:rsidR="006B6105">
        <w:t xml:space="preserve"> using the following formula.</w:t>
      </w:r>
    </w:p>
    <w:p w14:paraId="04F72B5D" w14:textId="02D34D4A" w:rsidR="006B6105" w:rsidRDefault="006B6105" w:rsidP="006B6105">
      <w:pPr>
        <w:ind w:left="1440"/>
      </w:pPr>
      <w:r>
        <w:tab/>
      </w:r>
      <w:proofErr w:type="spellStart"/>
      <w:r w:rsidR="00A86DE3">
        <w:t>CI</w:t>
      </w:r>
      <w:r>
        <w:rPr>
          <w:vertAlign w:val="subscript"/>
        </w:rPr>
        <w:t>prop</w:t>
      </w:r>
      <w:proofErr w:type="spellEnd"/>
      <w:r>
        <w:t xml:space="preserve"> = </w:t>
      </w:r>
      <m:oMath>
        <m:d>
          <m:dPr>
            <m:ctrlPr>
              <w:rPr>
                <w:rFonts w:ascii="Cambria Math" w:hAnsi="Cambria Math"/>
                <w:i/>
              </w:rPr>
            </m:ctrlPr>
          </m:dPr>
          <m:e>
            <m:r>
              <w:rPr>
                <w:rFonts w:ascii="Cambria Math" w:hAnsi="Cambria Math"/>
              </w:rPr>
              <m:t>%G</m:t>
            </m:r>
            <m:sSub>
              <m:sSubPr>
                <m:ctrlPr>
                  <w:rPr>
                    <w:rFonts w:ascii="Cambria Math" w:hAnsi="Cambria Math"/>
                    <w:i/>
                  </w:rPr>
                </m:ctrlPr>
              </m:sSubPr>
              <m:e>
                <m:r>
                  <w:rPr>
                    <w:rFonts w:ascii="Cambria Math" w:hAnsi="Cambria Math"/>
                  </w:rPr>
                  <m:t>H</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EF</m:t>
                </m:r>
              </m:e>
              <m:sub>
                <m:r>
                  <w:rPr>
                    <w:rFonts w:ascii="Cambria Math" w:hAnsi="Cambria Math"/>
                  </w:rPr>
                  <m:t>G</m:t>
                </m:r>
                <m:sSub>
                  <m:sSubPr>
                    <m:ctrlPr>
                      <w:rPr>
                        <w:rFonts w:ascii="Cambria Math" w:hAnsi="Cambria Math"/>
                        <w:i/>
                      </w:rPr>
                    </m:ctrlPr>
                  </m:sSubPr>
                  <m:e>
                    <m:r>
                      <w:rPr>
                        <w:rFonts w:ascii="Cambria Math" w:hAnsi="Cambria Math"/>
                      </w:rPr>
                      <m:t>H</m:t>
                    </m:r>
                  </m:e>
                  <m:sub>
                    <m:r>
                      <w:rPr>
                        <w:rFonts w:ascii="Cambria Math" w:hAnsi="Cambria Math"/>
                      </w:rPr>
                      <m:t>2</m:t>
                    </m:r>
                  </m:sub>
                </m:sSub>
              </m:sub>
            </m:sSub>
          </m:e>
        </m:d>
        <m:r>
          <w:rPr>
            <w:rFonts w:ascii="Cambria Math" w:hAnsi="Cambria Math"/>
          </w:rPr>
          <m:t>+</m:t>
        </m:r>
        <m:d>
          <m:dPr>
            <m:ctrlPr>
              <w:rPr>
                <w:rFonts w:ascii="Cambria Math" w:hAnsi="Cambria Math"/>
                <w:i/>
              </w:rPr>
            </m:ctrlPr>
          </m:dPr>
          <m:e>
            <m:d>
              <m:dPr>
                <m:ctrlPr>
                  <w:rPr>
                    <w:rFonts w:ascii="Cambria Math" w:hAnsi="Cambria Math"/>
                    <w:i/>
                  </w:rPr>
                </m:ctrlPr>
              </m:dPr>
              <m:e>
                <m:r>
                  <w:rPr>
                    <w:rFonts w:ascii="Cambria Math" w:hAnsi="Cambria Math"/>
                  </w:rPr>
                  <m:t>1-%G</m:t>
                </m:r>
                <m:sSub>
                  <m:sSubPr>
                    <m:ctrlPr>
                      <w:rPr>
                        <w:rFonts w:ascii="Cambria Math" w:hAnsi="Cambria Math"/>
                        <w:i/>
                      </w:rPr>
                    </m:ctrlPr>
                  </m:sSubPr>
                  <m:e>
                    <m:r>
                      <w:rPr>
                        <w:rFonts w:ascii="Cambria Math" w:hAnsi="Cambria Math"/>
                      </w:rPr>
                      <m:t>H</m:t>
                    </m:r>
                  </m:e>
                  <m:sub>
                    <m:r>
                      <w:rPr>
                        <w:rFonts w:ascii="Cambria Math" w:hAnsi="Cambria Math"/>
                      </w:rPr>
                      <m:t>2</m:t>
                    </m:r>
                  </m:sub>
                </m:sSub>
              </m:e>
            </m:d>
            <m:r>
              <w:rPr>
                <w:rFonts w:ascii="Cambria Math" w:hAnsi="Cambria Math"/>
              </w:rPr>
              <m:t>×</m:t>
            </m:r>
            <m:sSub>
              <m:sSubPr>
                <m:ctrlPr>
                  <w:rPr>
                    <w:rFonts w:ascii="Cambria Math" w:hAnsi="Cambria Math"/>
                    <w:i/>
                  </w:rPr>
                </m:ctrlPr>
              </m:sSubPr>
              <m:e>
                <m:r>
                  <w:rPr>
                    <w:rFonts w:ascii="Cambria Math" w:hAnsi="Cambria Math"/>
                  </w:rPr>
                  <m:t>EF</m:t>
                </m:r>
              </m:e>
              <m:sub>
                <m:r>
                  <w:rPr>
                    <w:rFonts w:ascii="Cambria Math" w:hAnsi="Cambria Math"/>
                  </w:rPr>
                  <m:t>C</m:t>
                </m:r>
                <m:sSub>
                  <m:sSubPr>
                    <m:ctrlPr>
                      <w:rPr>
                        <w:rFonts w:ascii="Cambria Math" w:hAnsi="Cambria Math"/>
                        <w:i/>
                      </w:rPr>
                    </m:ctrlPr>
                  </m:sSubPr>
                  <m:e>
                    <m:r>
                      <w:rPr>
                        <w:rFonts w:ascii="Cambria Math" w:hAnsi="Cambria Math"/>
                      </w:rPr>
                      <m:t>H</m:t>
                    </m:r>
                  </m:e>
                  <m:sub>
                    <m:r>
                      <w:rPr>
                        <w:rFonts w:ascii="Cambria Math" w:hAnsi="Cambria Math"/>
                      </w:rPr>
                      <m:t>2</m:t>
                    </m:r>
                  </m:sub>
                </m:sSub>
              </m:sub>
            </m:sSub>
          </m:e>
        </m:d>
      </m:oMath>
    </w:p>
    <w:p w14:paraId="1947426A" w14:textId="5A8E6251" w:rsidR="006B6105" w:rsidRDefault="006B6105" w:rsidP="006B6105">
      <w:pPr>
        <w:ind w:left="1440"/>
      </w:pPr>
      <w:r>
        <w:lastRenderedPageBreak/>
        <w:tab/>
      </w:r>
      <w:r>
        <w:tab/>
        <w:t>%GH</w:t>
      </w:r>
      <w:r w:rsidRPr="00F92B1C">
        <w:rPr>
          <w:vertAlign w:val="subscript"/>
        </w:rPr>
        <w:t>2</w:t>
      </w:r>
      <w:r>
        <w:t xml:space="preserve"> = The percentage of green hydrogen, by volume, within the delivered fuel.</w:t>
      </w:r>
    </w:p>
    <w:p w14:paraId="5DCB95C0" w14:textId="3F33F562" w:rsidR="006B6105" w:rsidRDefault="006B6105" w:rsidP="006B6105">
      <w:pPr>
        <w:ind w:left="1440"/>
      </w:pPr>
      <w:r>
        <w:tab/>
      </w:r>
      <w:r>
        <w:tab/>
      </w:r>
      <w:r w:rsidR="00A86DE3">
        <w:t>CI</w:t>
      </w:r>
      <w:r>
        <w:rPr>
          <w:vertAlign w:val="subscript"/>
        </w:rPr>
        <w:t>GH2</w:t>
      </w:r>
      <w:r>
        <w:t xml:space="preserve"> = The </w:t>
      </w:r>
      <w:r w:rsidR="0013481F">
        <w:t>carbon intensity value</w:t>
      </w:r>
      <w:r>
        <w:t xml:space="preserve"> for </w:t>
      </w:r>
      <w:r w:rsidR="009A5250">
        <w:t>green hydrogen</w:t>
      </w:r>
      <w:r>
        <w:t>.</w:t>
      </w:r>
    </w:p>
    <w:p w14:paraId="0B124F70" w14:textId="593C03A3" w:rsidR="009A5250" w:rsidRDefault="009A5250" w:rsidP="009A5250">
      <w:pPr>
        <w:ind w:left="1440"/>
      </w:pPr>
      <w:r>
        <w:tab/>
      </w:r>
      <w:r>
        <w:tab/>
      </w:r>
      <w:r w:rsidR="00A86DE3">
        <w:t>CI</w:t>
      </w:r>
      <w:r w:rsidR="0013481F">
        <w:rPr>
          <w:vertAlign w:val="subscript"/>
        </w:rPr>
        <w:t>C</w:t>
      </w:r>
      <w:r>
        <w:rPr>
          <w:vertAlign w:val="subscript"/>
        </w:rPr>
        <w:t>H2</w:t>
      </w:r>
      <w:r>
        <w:t xml:space="preserve"> = The </w:t>
      </w:r>
      <w:r w:rsidR="0013481F">
        <w:t>carbon intensity value</w:t>
      </w:r>
      <w:r>
        <w:t xml:space="preserve"> for </w:t>
      </w:r>
      <w:r w:rsidR="007D7FF5">
        <w:t>grey</w:t>
      </w:r>
      <w:r>
        <w:t xml:space="preserve"> hydrogen.</w:t>
      </w:r>
    </w:p>
    <w:p w14:paraId="663CDE42" w14:textId="103A9B4C" w:rsidR="006B6105" w:rsidRDefault="006B6105" w:rsidP="006B6105">
      <w:pPr>
        <w:ind w:left="1440"/>
      </w:pPr>
      <w:r w:rsidRPr="007313F2">
        <w:t>Ε</w:t>
      </w:r>
      <w:r>
        <w:t xml:space="preserve"> = The total energy of the </w:t>
      </w:r>
      <w:r w:rsidR="0013481F">
        <w:t xml:space="preserve">hydrogen </w:t>
      </w:r>
      <w:r>
        <w:t>delivered to the end-user in units of megajoules (MJ).</w:t>
      </w:r>
    </w:p>
    <w:p w14:paraId="11098DF4" w14:textId="55E71B1D" w:rsidR="0041296A" w:rsidRDefault="0041296A" w:rsidP="0041296A">
      <w:pPr>
        <w:pStyle w:val="Heading5"/>
        <w:ind w:firstLine="720"/>
      </w:pPr>
      <w:r w:rsidRPr="00AF1550">
        <w:t xml:space="preserve">Energy </w:t>
      </w:r>
      <w:r w:rsidR="00941CD9">
        <w:t>I</w:t>
      </w:r>
      <w:r w:rsidR="00941CD9" w:rsidRPr="00AF1550">
        <w:t xml:space="preserve">mpacts </w:t>
      </w:r>
      <w:r w:rsidRPr="00AF1550">
        <w:t>Algorithms</w:t>
      </w:r>
    </w:p>
    <w:p w14:paraId="36977314" w14:textId="249B3B93" w:rsidR="0041296A" w:rsidRDefault="0041296A" w:rsidP="0041296A">
      <w:r>
        <w:tab/>
        <w:t xml:space="preserve">E = </w:t>
      </w:r>
      <m:oMath>
        <m:sSub>
          <m:sSubPr>
            <m:ctrlPr>
              <w:rPr>
                <w:rFonts w:ascii="Cambria Math" w:hAnsi="Cambria Math"/>
                <w:i/>
              </w:rPr>
            </m:ctrlPr>
          </m:sSubPr>
          <m:e>
            <m:r>
              <w:rPr>
                <w:rFonts w:ascii="Cambria Math" w:hAnsi="Cambria Math"/>
              </w:rPr>
              <m:t>W</m:t>
            </m:r>
          </m:e>
          <m:sub>
            <m:r>
              <w:rPr>
                <w:rFonts w:ascii="Cambria Math" w:hAnsi="Cambria Math"/>
              </w:rPr>
              <m:t>delivered</m:t>
            </m:r>
          </m:sub>
        </m:sSub>
        <m:r>
          <w:rPr>
            <w:rFonts w:ascii="Cambria Math" w:hAnsi="Cambria Math"/>
          </w:rPr>
          <m:t>×LHV</m:t>
        </m:r>
      </m:oMath>
      <w:r w:rsidR="00DD38A3">
        <w:t xml:space="preserve"> </w:t>
      </w:r>
    </w:p>
    <w:p w14:paraId="6B268AE6" w14:textId="015C06B2" w:rsidR="0041296A" w:rsidRDefault="0041296A" w:rsidP="0041296A">
      <w:pPr>
        <w:rPr>
          <w:b/>
          <w:bCs/>
        </w:rPr>
      </w:pPr>
      <w:r w:rsidRPr="00D035ED">
        <w:rPr>
          <w:b/>
          <w:bCs/>
        </w:rPr>
        <w:tab/>
        <w:t xml:space="preserve">Input </w:t>
      </w:r>
      <w:r>
        <w:rPr>
          <w:b/>
          <w:bCs/>
        </w:rPr>
        <w:t>V</w:t>
      </w:r>
      <w:r w:rsidRPr="00D035ED">
        <w:rPr>
          <w:b/>
          <w:bCs/>
        </w:rPr>
        <w:t xml:space="preserve">ariable </w:t>
      </w:r>
      <w:r>
        <w:rPr>
          <w:b/>
          <w:bCs/>
        </w:rPr>
        <w:t>D</w:t>
      </w:r>
      <w:r w:rsidRPr="00D035ED">
        <w:rPr>
          <w:b/>
          <w:bCs/>
        </w:rPr>
        <w:t>efinitions</w:t>
      </w:r>
    </w:p>
    <w:p w14:paraId="40AB8214" w14:textId="7E24325A" w:rsidR="0041296A" w:rsidRDefault="006B6105" w:rsidP="0041296A">
      <w:pPr>
        <w:ind w:left="1440"/>
      </w:pPr>
      <w:proofErr w:type="spellStart"/>
      <w:r>
        <w:t>W</w:t>
      </w:r>
      <w:r w:rsidR="0041296A">
        <w:rPr>
          <w:vertAlign w:val="subscript"/>
        </w:rPr>
        <w:t>delivered</w:t>
      </w:r>
      <w:proofErr w:type="spellEnd"/>
      <w:r w:rsidR="0041296A">
        <w:t xml:space="preserve"> = The total </w:t>
      </w:r>
      <w:r>
        <w:t>weight</w:t>
      </w:r>
      <w:r w:rsidR="0041296A">
        <w:t xml:space="preserve"> of </w:t>
      </w:r>
      <w:r>
        <w:t>gaseous hydrogen</w:t>
      </w:r>
      <w:r w:rsidR="0041296A">
        <w:t xml:space="preserve"> that is delivered to the end-user</w:t>
      </w:r>
      <w:r w:rsidR="0041296A" w:rsidRPr="001F6D6A">
        <w:t xml:space="preserve"> </w:t>
      </w:r>
      <w:r w:rsidR="0041296A">
        <w:t xml:space="preserve">in </w:t>
      </w:r>
      <w:r>
        <w:t>kilogram</w:t>
      </w:r>
      <w:r w:rsidR="00941CD9">
        <w:t>s</w:t>
      </w:r>
      <w:r w:rsidR="0041296A">
        <w:t xml:space="preserve">. </w:t>
      </w:r>
    </w:p>
    <w:p w14:paraId="2FEAAA9E" w14:textId="1F893FD7" w:rsidR="0041296A" w:rsidRDefault="0041296A" w:rsidP="0041296A">
      <w:pPr>
        <w:ind w:left="1440"/>
      </w:pPr>
      <w:r>
        <w:t xml:space="preserve">LHV = Lower Heating Value of the </w:t>
      </w:r>
      <w:r w:rsidR="009A5250">
        <w:t>hydrogen</w:t>
      </w:r>
      <w:r>
        <w:t xml:space="preserve"> in units of MJ/</w:t>
      </w:r>
      <w:r w:rsidR="009A5250">
        <w:t>kg</w:t>
      </w:r>
      <w:r>
        <w:t xml:space="preserve">. </w:t>
      </w:r>
      <w:r w:rsidR="007D7FF5">
        <w:t>Grey</w:t>
      </w:r>
      <w:r w:rsidR="009A5250">
        <w:t xml:space="preserve"> and green hydrogen</w:t>
      </w:r>
      <w:r>
        <w:t xml:space="preserve"> have the same LHV, </w:t>
      </w:r>
      <w:r w:rsidR="00E51C7B">
        <w:t>129.48</w:t>
      </w:r>
      <w:r>
        <w:t xml:space="preserve"> MJ/</w:t>
      </w:r>
      <w:r w:rsidR="009A5250">
        <w:t>kg</w:t>
      </w:r>
      <w:r>
        <w:t>.</w:t>
      </w:r>
      <w:r>
        <w:rPr>
          <w:rStyle w:val="FootnoteReference"/>
        </w:rPr>
        <w:footnoteReference w:id="1"/>
      </w:r>
    </w:p>
    <w:p w14:paraId="154C5BAF" w14:textId="77777777" w:rsidR="0041296A" w:rsidRDefault="0041296A" w:rsidP="0041296A">
      <w:pPr>
        <w:ind w:firstLine="720"/>
        <w:rPr>
          <w:b/>
          <w:bCs/>
        </w:rPr>
      </w:pPr>
      <w:r w:rsidRPr="003643D2">
        <w:rPr>
          <w:b/>
          <w:bCs/>
        </w:rPr>
        <w:t>Measure Life</w:t>
      </w:r>
    </w:p>
    <w:p w14:paraId="2D66068B" w14:textId="5813F2ED" w:rsidR="0041296A" w:rsidRDefault="0013481F" w:rsidP="0041296A">
      <w:pPr>
        <w:ind w:left="1440"/>
      </w:pPr>
      <w:r>
        <w:t>Green hydrogen is</w:t>
      </w:r>
      <w:r w:rsidR="0041296A">
        <w:t xml:space="preserve"> not subject to a measure life, </w:t>
      </w:r>
      <w:r>
        <w:t>as the measure characterization is based on the weight of hydrogen that is delivered to an end-user and used in the thermal sector.</w:t>
      </w:r>
    </w:p>
    <w:p w14:paraId="3E15BE4A" w14:textId="77777777" w:rsidR="0041296A" w:rsidRDefault="0041296A" w:rsidP="0041296A">
      <w:pPr>
        <w:ind w:firstLine="720"/>
        <w:rPr>
          <w:b/>
          <w:bCs/>
        </w:rPr>
      </w:pPr>
      <w:r w:rsidRPr="003643D2">
        <w:rPr>
          <w:b/>
          <w:bCs/>
        </w:rPr>
        <w:t>Measure Cost</w:t>
      </w:r>
    </w:p>
    <w:p w14:paraId="6331F4C6" w14:textId="6F62EA3A" w:rsidR="0041296A" w:rsidRPr="00C9187F" w:rsidRDefault="0041296A" w:rsidP="0041296A">
      <w:pPr>
        <w:ind w:left="1440"/>
      </w:pPr>
      <w:r>
        <w:t xml:space="preserve">The incremental cost of </w:t>
      </w:r>
      <w:r w:rsidR="0013481F">
        <w:t xml:space="preserve">green hydrogen </w:t>
      </w:r>
      <w:r>
        <w:t xml:space="preserve">over </w:t>
      </w:r>
      <w:r w:rsidR="007D7FF5">
        <w:t>grey</w:t>
      </w:r>
      <w:r w:rsidR="0013481F">
        <w:t xml:space="preserve"> hydrogen</w:t>
      </w:r>
      <w:r>
        <w:t>. Use actual costs.</w:t>
      </w:r>
    </w:p>
    <w:p w14:paraId="0E882C3F" w14:textId="77777777" w:rsidR="0041296A" w:rsidRDefault="0041296A" w:rsidP="0041296A">
      <w:pPr>
        <w:pStyle w:val="Heading4"/>
      </w:pPr>
      <w:r>
        <w:t>Program Data Tracking Recommendations</w:t>
      </w:r>
    </w:p>
    <w:p w14:paraId="191617F9" w14:textId="77777777" w:rsidR="0041296A" w:rsidRDefault="0041296A" w:rsidP="00F92B1C">
      <w:r>
        <w:t>The key input variables for this measure are the following:</w:t>
      </w:r>
    </w:p>
    <w:p w14:paraId="7FA26FF0" w14:textId="0D4F36D3" w:rsidR="0041296A" w:rsidRDefault="009A5250" w:rsidP="00F92B1C">
      <w:pPr>
        <w:pStyle w:val="ListBullet"/>
      </w:pPr>
      <w:r>
        <w:t xml:space="preserve">Weight </w:t>
      </w:r>
      <w:r w:rsidR="0041296A">
        <w:t xml:space="preserve">of delivered </w:t>
      </w:r>
      <w:r>
        <w:t xml:space="preserve">hydrogen </w:t>
      </w:r>
      <w:r w:rsidR="0041296A">
        <w:t>gas to the end user</w:t>
      </w:r>
    </w:p>
    <w:p w14:paraId="15AD4B24" w14:textId="7548A668" w:rsidR="0041296A" w:rsidRDefault="0041296A" w:rsidP="00F92B1C">
      <w:pPr>
        <w:pStyle w:val="ListBullet"/>
      </w:pPr>
      <w:r>
        <w:t xml:space="preserve">Percentage of </w:t>
      </w:r>
      <w:r w:rsidR="009A5250">
        <w:t>green hydrogen</w:t>
      </w:r>
      <w:r>
        <w:t xml:space="preserve"> in </w:t>
      </w:r>
      <w:r w:rsidR="009A5250">
        <w:t>total delivered hydrogen, by weight</w:t>
      </w:r>
    </w:p>
    <w:p w14:paraId="34286EC8" w14:textId="77777777" w:rsidR="0041296A" w:rsidRDefault="0041296A" w:rsidP="00F92B1C">
      <w:pPr>
        <w:pStyle w:val="Heading4"/>
        <w:keepNext/>
        <w:keepLines/>
      </w:pPr>
      <w:r>
        <w:t xml:space="preserve">Energy Codes and </w:t>
      </w:r>
      <w:r w:rsidRPr="00C36178">
        <w:t>Standards</w:t>
      </w:r>
    </w:p>
    <w:p w14:paraId="2967A336" w14:textId="06C27D5E" w:rsidR="0041296A" w:rsidRPr="0041296A" w:rsidRDefault="0041296A" w:rsidP="0041296A">
      <w:r>
        <w:t>None</w:t>
      </w:r>
      <w:r w:rsidR="00941CD9">
        <w:t>.</w:t>
      </w:r>
    </w:p>
    <w:p w14:paraId="39652607" w14:textId="26F073A3" w:rsidR="009C582F" w:rsidRDefault="009C582F" w:rsidP="00E24A4F">
      <w:pPr>
        <w:pStyle w:val="Heading3"/>
      </w:pPr>
      <w:r>
        <w:lastRenderedPageBreak/>
        <w:t>Biomethane</w:t>
      </w:r>
    </w:p>
    <w:p w14:paraId="7870BE32" w14:textId="1B6A02F6" w:rsidR="009C582F" w:rsidRPr="00FC7A76" w:rsidRDefault="009C582F" w:rsidP="00F92B1C">
      <w:pPr>
        <w:keepNext/>
        <w:keepLines/>
        <w:spacing w:after="0"/>
        <w:ind w:left="1080"/>
      </w:pPr>
      <w:r w:rsidRPr="00B34EA4">
        <w:rPr>
          <w:b/>
          <w:bCs/>
        </w:rPr>
        <w:t xml:space="preserve">CHS Measure ID: </w:t>
      </w:r>
      <w:r>
        <w:t>ALL_FUEL</w:t>
      </w:r>
      <w:r w:rsidRPr="00B34EA4">
        <w:t>_</w:t>
      </w:r>
      <w:r w:rsidR="00610E15">
        <w:t>BMN</w:t>
      </w:r>
    </w:p>
    <w:p w14:paraId="183D7456" w14:textId="77777777" w:rsidR="009C582F" w:rsidRDefault="009C582F" w:rsidP="00F92B1C">
      <w:pPr>
        <w:keepNext/>
        <w:keepLines/>
        <w:spacing w:after="0"/>
        <w:ind w:left="1080"/>
        <w:rPr>
          <w:b/>
          <w:bCs/>
        </w:rPr>
      </w:pPr>
      <w:r>
        <w:rPr>
          <w:b/>
          <w:bCs/>
        </w:rPr>
        <w:t xml:space="preserve">Market Sector: </w:t>
      </w:r>
      <w:r>
        <w:t>All</w:t>
      </w:r>
    </w:p>
    <w:p w14:paraId="08A4B793" w14:textId="77777777" w:rsidR="009C582F" w:rsidRPr="0016490D" w:rsidRDefault="009C582F" w:rsidP="00F92B1C">
      <w:pPr>
        <w:keepNext/>
        <w:keepLines/>
        <w:spacing w:after="0"/>
        <w:ind w:left="1080"/>
      </w:pPr>
      <w:r>
        <w:rPr>
          <w:b/>
          <w:bCs/>
        </w:rPr>
        <w:t xml:space="preserve">End Use: </w:t>
      </w:r>
      <w:r>
        <w:t xml:space="preserve">Alternative Fuels </w:t>
      </w:r>
    </w:p>
    <w:p w14:paraId="32233BF3" w14:textId="77777777" w:rsidR="009C582F" w:rsidRPr="003F16E4" w:rsidRDefault="009C582F" w:rsidP="00F92B1C">
      <w:pPr>
        <w:keepNext/>
        <w:keepLines/>
        <w:spacing w:after="0"/>
        <w:ind w:left="1080"/>
      </w:pPr>
      <w:r>
        <w:rPr>
          <w:b/>
          <w:bCs/>
        </w:rPr>
        <w:t xml:space="preserve">Applicable Building Types: </w:t>
      </w:r>
      <w:r>
        <w:t>All</w:t>
      </w:r>
    </w:p>
    <w:p w14:paraId="0CBF9FF0" w14:textId="77777777" w:rsidR="009C582F" w:rsidRDefault="009C582F" w:rsidP="00F92B1C">
      <w:pPr>
        <w:keepNext/>
        <w:keepLines/>
        <w:spacing w:after="0"/>
        <w:ind w:left="360" w:firstLine="720"/>
      </w:pPr>
      <w:r>
        <w:rPr>
          <w:b/>
          <w:bCs/>
        </w:rPr>
        <w:t xml:space="preserve">Decarbonization Pathways: </w:t>
      </w:r>
      <w:r w:rsidRPr="00050DAC">
        <w:t>Alternative Fuels</w:t>
      </w:r>
    </w:p>
    <w:p w14:paraId="2E6778AE" w14:textId="37243929" w:rsidR="009C582F" w:rsidRPr="00963504" w:rsidRDefault="009C582F" w:rsidP="00F92B1C">
      <w:pPr>
        <w:keepNext/>
        <w:keepLines/>
        <w:spacing w:after="0"/>
        <w:ind w:left="1080"/>
      </w:pPr>
      <w:r>
        <w:rPr>
          <w:b/>
          <w:bCs/>
        </w:rPr>
        <w:t xml:space="preserve">Applicable Feedstocks: </w:t>
      </w:r>
      <w:r>
        <w:t>Animal waste, landfill gas, wastewater treatment plant sludge, and fats, oils, and greases</w:t>
      </w:r>
    </w:p>
    <w:p w14:paraId="528D716B" w14:textId="77777777" w:rsidR="009C582F" w:rsidRDefault="009C582F" w:rsidP="009C582F">
      <w:pPr>
        <w:pStyle w:val="Heading4"/>
      </w:pPr>
      <w:r>
        <w:t>Measure Description</w:t>
      </w:r>
    </w:p>
    <w:p w14:paraId="44C03FD6" w14:textId="29B2BA82" w:rsidR="0040700C" w:rsidRDefault="009C582F" w:rsidP="0040700C">
      <w:pPr>
        <w:ind w:left="720"/>
      </w:pPr>
      <w:r>
        <w:t>This measure involves the replacement of natural gas</w:t>
      </w:r>
      <w:r w:rsidR="003309E0">
        <w:t xml:space="preserve"> used in the thermal sector</w:t>
      </w:r>
      <w:r>
        <w:t xml:space="preserve"> with biomethane. </w:t>
      </w:r>
      <w:r w:rsidR="0040700C">
        <w:t>Biomethane, also known as renewable natural gas, is biogas that has been upgraded to be fully interchangeable with fossil natural gas.</w:t>
      </w:r>
      <w:r w:rsidR="0040700C" w:rsidRPr="0040700C">
        <w:t xml:space="preserve"> </w:t>
      </w:r>
      <w:r w:rsidR="0040700C">
        <w:t xml:space="preserve">Biomethane can be directly substituted for fossil natural gas in thermal </w:t>
      </w:r>
      <w:proofErr w:type="spellStart"/>
      <w:r w:rsidR="0040700C">
        <w:t>enduses</w:t>
      </w:r>
      <w:proofErr w:type="spellEnd"/>
      <w:r w:rsidR="0040700C">
        <w:t>; this measure assumes that biomethane is used as a drop-in replacement for an existing thermal use of natural gas.</w:t>
      </w:r>
    </w:p>
    <w:p w14:paraId="037A9CE5" w14:textId="4B292991" w:rsidR="003309E0" w:rsidRDefault="0040700C" w:rsidP="0040700C">
      <w:pPr>
        <w:ind w:left="720"/>
      </w:pPr>
      <w:r>
        <w:t xml:space="preserve">This </w:t>
      </w:r>
      <w:r w:rsidR="009C582F">
        <w:t>measure characterizes four distinct pathways</w:t>
      </w:r>
      <w:r w:rsidR="00525B2C">
        <w:t xml:space="preserve"> </w:t>
      </w:r>
      <w:proofErr w:type="gramStart"/>
      <w:r w:rsidR="00525B2C">
        <w:t xml:space="preserve">for </w:t>
      </w:r>
      <w:r w:rsidR="003309E0">
        <w:t>the production of</w:t>
      </w:r>
      <w:proofErr w:type="gramEnd"/>
      <w:r w:rsidR="003309E0">
        <w:t xml:space="preserve"> </w:t>
      </w:r>
      <w:r w:rsidR="00525B2C">
        <w:t>biomethane from waste products (</w:t>
      </w:r>
      <w:r w:rsidR="009C582F">
        <w:t>animal waste</w:t>
      </w:r>
      <w:r w:rsidR="009C582F" w:rsidRPr="003A1711">
        <w:t>,</w:t>
      </w:r>
      <w:r w:rsidR="009C582F">
        <w:t xml:space="preserve"> </w:t>
      </w:r>
      <w:r w:rsidR="009C582F" w:rsidRPr="003A1711">
        <w:t>landfill gas,</w:t>
      </w:r>
      <w:r w:rsidR="00525B2C">
        <w:t xml:space="preserve"> </w:t>
      </w:r>
      <w:r w:rsidR="009C582F" w:rsidRPr="003A1711">
        <w:t>wastewater treatment plant sludge, and fats, oil</w:t>
      </w:r>
      <w:r w:rsidR="009C582F">
        <w:t>s</w:t>
      </w:r>
      <w:r w:rsidR="009C582F" w:rsidRPr="003A1711">
        <w:t>, and greases</w:t>
      </w:r>
      <w:r w:rsidR="00525B2C">
        <w:t>)</w:t>
      </w:r>
      <w:r w:rsidR="009C582F">
        <w:t>. Greenhouse gas reductions associated with this measure</w:t>
      </w:r>
      <w:r w:rsidR="00A738BC">
        <w:t xml:space="preserve"> are</w:t>
      </w:r>
      <w:r w:rsidR="009C582F">
        <w:t xml:space="preserve"> derive</w:t>
      </w:r>
      <w:r w:rsidR="00A738BC">
        <w:t>d</w:t>
      </w:r>
      <w:r w:rsidR="009C582F">
        <w:t xml:space="preserve"> from the difference in </w:t>
      </w:r>
      <w:r w:rsidR="00E24A4F">
        <w:t xml:space="preserve">carbon intensity values </w:t>
      </w:r>
      <w:r w:rsidR="009C582F">
        <w:t>(gCO</w:t>
      </w:r>
      <w:r w:rsidR="009C582F" w:rsidRPr="00523F7D">
        <w:rPr>
          <w:vertAlign w:val="subscript"/>
        </w:rPr>
        <w:t>2</w:t>
      </w:r>
      <w:r w:rsidR="009C582F">
        <w:t>e/MJ) between natural gas and biomethane.</w:t>
      </w:r>
      <w:r w:rsidR="000A3FCD">
        <w:t xml:space="preserve"> </w:t>
      </w:r>
    </w:p>
    <w:p w14:paraId="1744F748" w14:textId="0504669D" w:rsidR="009C582F" w:rsidRDefault="000A3FCD" w:rsidP="009C582F">
      <w:pPr>
        <w:ind w:left="720"/>
      </w:pPr>
      <w:r>
        <w:t>Biomethane production pathways (and ther</w:t>
      </w:r>
      <w:r w:rsidR="00E24A4F">
        <w:t>ef</w:t>
      </w:r>
      <w:r>
        <w:t xml:space="preserve">ore carbon intensity values) include feedstock collection, fuel production, and transport of fuels to distributors. The distribution of fuels from the distributor to the end user is accounted for in the </w:t>
      </w:r>
      <w:r>
        <w:fldChar w:fldCharType="begin"/>
      </w:r>
      <w:r>
        <w:instrText xml:space="preserve"> REF _Ref175819235 \h </w:instrText>
      </w:r>
      <w:r>
        <w:fldChar w:fldCharType="separate"/>
      </w:r>
      <w:r w:rsidR="008F724F">
        <w:t xml:space="preserve">Decarbonization </w:t>
      </w:r>
      <w:r w:rsidR="008F724F" w:rsidRPr="00AF1550">
        <w:t xml:space="preserve">and Energy </w:t>
      </w:r>
      <w:r w:rsidR="008F724F">
        <w:t>I</w:t>
      </w:r>
      <w:r w:rsidR="008F724F" w:rsidRPr="00AF1550">
        <w:t xml:space="preserve">mpacts </w:t>
      </w:r>
      <w:r w:rsidR="008F724F">
        <w:t>Algorithms</w:t>
      </w:r>
      <w:r>
        <w:fldChar w:fldCharType="end"/>
      </w:r>
      <w:r>
        <w:t>.</w:t>
      </w:r>
    </w:p>
    <w:p w14:paraId="4BCF3DBA" w14:textId="77777777" w:rsidR="009C582F" w:rsidRDefault="009C582F" w:rsidP="009C582F">
      <w:pPr>
        <w:ind w:firstLine="720"/>
        <w:rPr>
          <w:b/>
          <w:bCs/>
        </w:rPr>
      </w:pPr>
      <w:r>
        <w:rPr>
          <w:b/>
          <w:bCs/>
        </w:rPr>
        <w:t>Baseline Conditions</w:t>
      </w:r>
    </w:p>
    <w:p w14:paraId="687FE7BA" w14:textId="7639BFA3" w:rsidR="009C582F" w:rsidRDefault="009C582F" w:rsidP="009C582F">
      <w:pPr>
        <w:ind w:left="720"/>
      </w:pPr>
      <w:r>
        <w:t xml:space="preserve">The baseline condition is </w:t>
      </w:r>
      <w:r w:rsidR="00A738BC">
        <w:t xml:space="preserve">the </w:t>
      </w:r>
      <w:r>
        <w:t xml:space="preserve">use of natural gas in the thermal sector that is delivered to the end-user through </w:t>
      </w:r>
      <w:r w:rsidR="00B62B1C">
        <w:t>the Vermont natural gas distribution system</w:t>
      </w:r>
      <w:r>
        <w:t>.</w:t>
      </w:r>
    </w:p>
    <w:p w14:paraId="0DE9BEA3" w14:textId="77777777" w:rsidR="009C582F" w:rsidRDefault="009C582F" w:rsidP="009C582F">
      <w:pPr>
        <w:ind w:firstLine="720"/>
        <w:rPr>
          <w:b/>
          <w:bCs/>
        </w:rPr>
      </w:pPr>
      <w:r>
        <w:rPr>
          <w:b/>
          <w:bCs/>
        </w:rPr>
        <w:t>Proposed Conditions</w:t>
      </w:r>
    </w:p>
    <w:p w14:paraId="5B43348D" w14:textId="66D3F13F" w:rsidR="009C582F" w:rsidRDefault="009C582F" w:rsidP="009C582F">
      <w:pPr>
        <w:ind w:left="720"/>
      </w:pPr>
      <w:r>
        <w:t xml:space="preserve">The proposed </w:t>
      </w:r>
      <w:r w:rsidR="00B62B1C">
        <w:t xml:space="preserve">condition </w:t>
      </w:r>
      <w:r>
        <w:t xml:space="preserve">is </w:t>
      </w:r>
      <w:r w:rsidR="00B62B1C">
        <w:t xml:space="preserve">the use of </w:t>
      </w:r>
      <w:r>
        <w:t xml:space="preserve">biomethane </w:t>
      </w:r>
      <w:r w:rsidR="00B62B1C">
        <w:t>in the thermal sector that is delivered to the end-user through the Vermont natural gas distribution system.</w:t>
      </w:r>
      <w:r w:rsidR="00E24A4F" w:rsidDel="00E24A4F">
        <w:t xml:space="preserve"> </w:t>
      </w:r>
    </w:p>
    <w:p w14:paraId="3C43EE0C" w14:textId="77405357" w:rsidR="009C582F" w:rsidRDefault="009C582F" w:rsidP="00A434FB">
      <w:pPr>
        <w:pStyle w:val="Heading4"/>
        <w:keepNext/>
        <w:keepLines/>
      </w:pPr>
      <w:r>
        <w:t xml:space="preserve">Eligibility </w:t>
      </w:r>
      <w:r w:rsidR="00B62B1C">
        <w:t>Criteria</w:t>
      </w:r>
    </w:p>
    <w:p w14:paraId="5000C508" w14:textId="05BA24B7" w:rsidR="00171DB1" w:rsidRDefault="00171DB1" w:rsidP="00EE3AAF">
      <w:r>
        <w:t>This measure characterizes biomethane used in the thermal sector under a certain set of conditions. Specifically:</w:t>
      </w:r>
    </w:p>
    <w:p w14:paraId="08712AC2" w14:textId="0D009E32" w:rsidR="00171DB1" w:rsidRDefault="00B62B1C" w:rsidP="00EE3AAF">
      <w:pPr>
        <w:pStyle w:val="ListBullet"/>
      </w:pPr>
      <w:r>
        <w:t>Biomethane</w:t>
      </w:r>
      <w:r w:rsidR="009C582F">
        <w:t xml:space="preserve"> </w:t>
      </w:r>
      <w:r>
        <w:t xml:space="preserve">carbon intensity values </w:t>
      </w:r>
      <w:r w:rsidR="009C582F">
        <w:t xml:space="preserve">are characterized for production pathways that reside within the continental United States. Finished </w:t>
      </w:r>
      <w:r w:rsidR="00171DB1">
        <w:t>biomethane</w:t>
      </w:r>
      <w:r w:rsidR="009C582F">
        <w:t xml:space="preserve"> or feedstocks used in production of </w:t>
      </w:r>
      <w:r w:rsidR="00171DB1">
        <w:t xml:space="preserve">biomethane </w:t>
      </w:r>
      <w:r w:rsidR="009C582F">
        <w:t xml:space="preserve">that are imported from outside the </w:t>
      </w:r>
      <w:r w:rsidR="00A738BC">
        <w:t>continental United States</w:t>
      </w:r>
      <w:r w:rsidR="009C582F">
        <w:t xml:space="preserve"> are not eligible for this measure. </w:t>
      </w:r>
    </w:p>
    <w:p w14:paraId="1510209F" w14:textId="0842FCA4" w:rsidR="009C582F" w:rsidRDefault="00171DB1" w:rsidP="00EE3AAF">
      <w:pPr>
        <w:pStyle w:val="ListBullet"/>
      </w:pPr>
      <w:r>
        <w:t xml:space="preserve">Biomethane </w:t>
      </w:r>
      <w:r w:rsidR="009C582F">
        <w:t xml:space="preserve">feedstocks not listed as one of the characterized pathways are not eligible for this measure. </w:t>
      </w:r>
    </w:p>
    <w:p w14:paraId="26C03A92" w14:textId="714ACF2D" w:rsidR="009C582F" w:rsidRDefault="009C582F" w:rsidP="00171DB1">
      <w:pPr>
        <w:pStyle w:val="ListBullet"/>
      </w:pPr>
      <w:r>
        <w:lastRenderedPageBreak/>
        <w:t xml:space="preserve">For </w:t>
      </w:r>
      <w:r w:rsidR="00171DB1">
        <w:t xml:space="preserve">biomethane </w:t>
      </w:r>
      <w:r>
        <w:t xml:space="preserve">to be eligible for this measure, it must be distributed to an end user through </w:t>
      </w:r>
      <w:r w:rsidR="00171DB1">
        <w:t>the Vermont natural gas distribution system. Biomethane distributed through other channels is not eligible for this measure.</w:t>
      </w:r>
    </w:p>
    <w:p w14:paraId="7E2FCC10" w14:textId="4DB21872" w:rsidR="00171DB1" w:rsidRDefault="00171DB1" w:rsidP="00EE3AAF">
      <w:r>
        <w:t>This measure does not characterize the use of biomethane in the thermal sector that does not meet these above conditions</w:t>
      </w:r>
      <w:r w:rsidR="00E24A4F">
        <w:t>.</w:t>
      </w:r>
    </w:p>
    <w:p w14:paraId="5A955148" w14:textId="106835D8" w:rsidR="00171DB1" w:rsidRDefault="00171DB1" w:rsidP="00EE3AAF">
      <w:r>
        <w:t>Certain uses of biomethane are not eligible for clean heat credits:</w:t>
      </w:r>
    </w:p>
    <w:p w14:paraId="3793BF77" w14:textId="66BE9B13" w:rsidR="009C582F" w:rsidRDefault="00171DB1" w:rsidP="00EE3AAF">
      <w:pPr>
        <w:pStyle w:val="ListBullet"/>
      </w:pPr>
      <w:r>
        <w:t>Biomethane</w:t>
      </w:r>
      <w:r w:rsidR="009C582F">
        <w:t xml:space="preserve"> distributed to an </w:t>
      </w:r>
      <w:r>
        <w:t xml:space="preserve">electricity generating unit (EGU) </w:t>
      </w:r>
      <w:r w:rsidR="009C582F">
        <w:t xml:space="preserve">is not </w:t>
      </w:r>
      <w:r>
        <w:t>part of the thermal sector and ther</w:t>
      </w:r>
      <w:r w:rsidR="00E24A4F">
        <w:t>ef</w:t>
      </w:r>
      <w:r>
        <w:t>ore is not eligible for clean heat credits.</w:t>
      </w:r>
    </w:p>
    <w:p w14:paraId="3A251C8F" w14:textId="51549A68" w:rsidR="009C582F" w:rsidRDefault="00171DB1" w:rsidP="00171DB1">
      <w:pPr>
        <w:pStyle w:val="ListBullet"/>
      </w:pPr>
      <w:r>
        <w:t>Biomethane</w:t>
      </w:r>
      <w:r w:rsidR="009C582F">
        <w:t xml:space="preserve"> distributed to an industrial facility </w:t>
      </w:r>
      <w:r>
        <w:t xml:space="preserve">must </w:t>
      </w:r>
      <w:r w:rsidR="009C582F">
        <w:t xml:space="preserve">be verified as being used in </w:t>
      </w:r>
      <w:r>
        <w:t>the thermal sector</w:t>
      </w:r>
      <w:r w:rsidR="009C582F">
        <w:t xml:space="preserve">. </w:t>
      </w:r>
      <w:r>
        <w:t xml:space="preserve">Biomethane itself </w:t>
      </w:r>
      <w:r w:rsidR="009C582F">
        <w:t xml:space="preserve">used as a material feedstock in production of a good or otherwise used </w:t>
      </w:r>
      <w:r>
        <w:t>outside of the thermal sector</w:t>
      </w:r>
      <w:r w:rsidR="009C582F">
        <w:t xml:space="preserve"> is ineligible </w:t>
      </w:r>
      <w:r>
        <w:t>for clean heat credits.</w:t>
      </w:r>
    </w:p>
    <w:p w14:paraId="3CC57C1B" w14:textId="63262145" w:rsidR="009C582F" w:rsidRDefault="009C582F" w:rsidP="009C582F">
      <w:pPr>
        <w:pStyle w:val="Heading4"/>
      </w:pPr>
      <w:r w:rsidRPr="00C36178">
        <w:t>Decarbonization</w:t>
      </w:r>
      <w:r>
        <w:t xml:space="preserve"> </w:t>
      </w:r>
      <w:r w:rsidR="00B62B1C">
        <w:t>Summary</w:t>
      </w:r>
    </w:p>
    <w:p w14:paraId="02EDA15D" w14:textId="399C14CE" w:rsidR="00C62485" w:rsidRDefault="00C62485" w:rsidP="00EE3AAF">
      <w:r>
        <w:fldChar w:fldCharType="begin"/>
      </w:r>
      <w:r>
        <w:instrText xml:space="preserve"> REF _Ref175819848 \h </w:instrText>
      </w:r>
      <w:r>
        <w:fldChar w:fldCharType="separate"/>
      </w:r>
      <w:r w:rsidR="008F724F">
        <w:t xml:space="preserve">Table </w:t>
      </w:r>
      <w:r w:rsidR="008F724F">
        <w:rPr>
          <w:noProof/>
        </w:rPr>
        <w:t>2</w:t>
      </w:r>
      <w:r>
        <w:fldChar w:fldCharType="end"/>
      </w:r>
      <w:r>
        <w:t xml:space="preserve"> </w:t>
      </w:r>
      <w:r w:rsidRPr="00AF1550">
        <w:t xml:space="preserve">provides </w:t>
      </w:r>
      <w:r>
        <w:t xml:space="preserve">the </w:t>
      </w:r>
      <w:bookmarkStart w:id="10" w:name="_Hlk175654466"/>
      <w:r w:rsidRPr="00AF1550">
        <w:t xml:space="preserve">estimated </w:t>
      </w:r>
      <w:r>
        <w:t xml:space="preserve">2025 decarbonization range </w:t>
      </w:r>
      <w:bookmarkEnd w:id="10"/>
      <w:r>
        <w:t xml:space="preserve">for the proportional replacement of natural gas with biomethane in the Vermont natural gas distribution system </w:t>
      </w:r>
      <w:r w:rsidR="0051347D">
        <w:t xml:space="preserve">from each of the four characterized feedstocks </w:t>
      </w:r>
      <w:r>
        <w:t>under varying proportionality. These estimates are not inclusive of all eligible conditions; other conditions may be calculated from the algorithms herein</w:t>
      </w:r>
      <w:r w:rsidR="0051347D">
        <w:t xml:space="preserve"> </w:t>
      </w:r>
      <w:r>
        <w:t>(e.g., natural gas proportionally replaced with biomethane from a mix of pathways).</w:t>
      </w:r>
    </w:p>
    <w:p w14:paraId="2BC8C975" w14:textId="0958F3AD" w:rsidR="00171DB1" w:rsidRDefault="009C582F" w:rsidP="00813BC9">
      <w:pPr>
        <w:pStyle w:val="Caption"/>
      </w:pPr>
      <w:bookmarkStart w:id="11" w:name="_Ref175819848"/>
      <w:r>
        <w:t xml:space="preserve">Table </w:t>
      </w:r>
      <w:r>
        <w:fldChar w:fldCharType="begin"/>
      </w:r>
      <w:r>
        <w:instrText xml:space="preserve"> SEQ Table \* ARABIC </w:instrText>
      </w:r>
      <w:r>
        <w:fldChar w:fldCharType="separate"/>
      </w:r>
      <w:r w:rsidR="008F724F">
        <w:rPr>
          <w:noProof/>
        </w:rPr>
        <w:t>2</w:t>
      </w:r>
      <w:r>
        <w:fldChar w:fldCharType="end"/>
      </w:r>
      <w:bookmarkEnd w:id="11"/>
      <w:r>
        <w:t>.</w:t>
      </w:r>
      <w:r w:rsidR="001F0C67">
        <w:t xml:space="preserve"> Biomethane</w:t>
      </w:r>
      <w:r>
        <w:t xml:space="preserve"> </w:t>
      </w:r>
      <w:r w:rsidRPr="00897C4B">
        <w:t>CO</w:t>
      </w:r>
      <w:r w:rsidRPr="001F0C67">
        <w:rPr>
          <w:vertAlign w:val="subscript"/>
        </w:rPr>
        <w:t>2</w:t>
      </w:r>
      <w:r w:rsidRPr="00897C4B">
        <w:t>e Reductions</w:t>
      </w:r>
    </w:p>
    <w:tbl>
      <w:tblPr>
        <w:tblStyle w:val="ODCBasic-1"/>
        <w:tblW w:w="0" w:type="auto"/>
        <w:tblCellMar>
          <w:top w:w="0" w:type="dxa"/>
          <w:bottom w:w="14" w:type="dxa"/>
        </w:tblCellMar>
        <w:tblLook w:val="04A0" w:firstRow="1" w:lastRow="0" w:firstColumn="1" w:lastColumn="0" w:noHBand="0" w:noVBand="1"/>
      </w:tblPr>
      <w:tblGrid>
        <w:gridCol w:w="2223"/>
        <w:gridCol w:w="1426"/>
        <w:gridCol w:w="1162"/>
        <w:gridCol w:w="3464"/>
        <w:gridCol w:w="2160"/>
      </w:tblGrid>
      <w:tr w:rsidR="001F0C67" w14:paraId="6B7D0C25" w14:textId="77777777" w:rsidTr="001F0C67">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223" w:type="dxa"/>
            <w:vMerge w:val="restart"/>
            <w:tcBorders>
              <w:right w:val="single" w:sz="4" w:space="0" w:color="4A4D56" w:themeColor="text1"/>
            </w:tcBorders>
          </w:tcPr>
          <w:p w14:paraId="79C9D7CD" w14:textId="757380AF" w:rsidR="001F0C67" w:rsidRDefault="001F0C67" w:rsidP="007C1EC0">
            <w:pPr>
              <w:pStyle w:val="TableHeadingLeft"/>
            </w:pPr>
            <w:r>
              <w:t>Portion of Biomethane in Distribution System</w:t>
            </w:r>
          </w:p>
        </w:tc>
        <w:tc>
          <w:tcPr>
            <w:tcW w:w="8212" w:type="dxa"/>
            <w:gridSpan w:val="4"/>
            <w:tcBorders>
              <w:left w:val="single" w:sz="4" w:space="0" w:color="4A4D56" w:themeColor="text1"/>
              <w:bottom w:val="single" w:sz="4" w:space="0" w:color="4A4D56" w:themeColor="text1"/>
            </w:tcBorders>
          </w:tcPr>
          <w:p w14:paraId="3C282E37" w14:textId="01AD322C" w:rsidR="001F0C67" w:rsidRDefault="001F0C67" w:rsidP="001F0C67">
            <w:pPr>
              <w:pStyle w:val="TableHeadingCentered"/>
              <w:cnfStyle w:val="100000000000" w:firstRow="1" w:lastRow="0" w:firstColumn="0" w:lastColumn="0" w:oddVBand="0" w:evenVBand="0" w:oddHBand="0" w:evenHBand="0" w:firstRowFirstColumn="0" w:firstRowLastColumn="0" w:lastRowFirstColumn="0" w:lastRowLastColumn="0"/>
              <w:rPr>
                <w:iCs w:val="0"/>
              </w:rPr>
            </w:pPr>
            <w:r>
              <w:t>CO</w:t>
            </w:r>
            <w:r w:rsidRPr="001F0C67">
              <w:rPr>
                <w:vertAlign w:val="subscript"/>
              </w:rPr>
              <w:t>2</w:t>
            </w:r>
            <w:r>
              <w:t xml:space="preserve">e Reduction </w:t>
            </w:r>
            <w:r w:rsidR="00E24A4F">
              <w:t xml:space="preserve">per 100 Cubic Feet </w:t>
            </w:r>
            <w:r w:rsidRPr="001F0C67">
              <w:t>[gCO</w:t>
            </w:r>
            <w:r w:rsidRPr="00D678B3">
              <w:rPr>
                <w:vertAlign w:val="subscript"/>
              </w:rPr>
              <w:t>2</w:t>
            </w:r>
            <w:r w:rsidRPr="001F0C67">
              <w:t>e/CCF]</w:t>
            </w:r>
            <w:r w:rsidR="00C62485">
              <w:t xml:space="preserve"> in 2025</w:t>
            </w:r>
            <w:r w:rsidR="0051347D">
              <w:t xml:space="preserve"> by </w:t>
            </w:r>
            <w:r w:rsidR="00DD134A">
              <w:t xml:space="preserve">Fuel </w:t>
            </w:r>
            <w:r w:rsidR="0051347D">
              <w:t>Pathway</w:t>
            </w:r>
          </w:p>
        </w:tc>
      </w:tr>
      <w:tr w:rsidR="001F0C67" w14:paraId="50DBA3B2" w14:textId="77777777" w:rsidTr="001F0C67">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2223" w:type="dxa"/>
            <w:vMerge/>
            <w:tcBorders>
              <w:bottom w:val="single" w:sz="4" w:space="0" w:color="4A4D56" w:themeColor="text1"/>
              <w:right w:val="single" w:sz="4" w:space="0" w:color="4A4D56" w:themeColor="text1"/>
            </w:tcBorders>
          </w:tcPr>
          <w:p w14:paraId="50E56924" w14:textId="5BF231F6" w:rsidR="001F0C67" w:rsidRPr="00625570" w:rsidRDefault="001F0C67" w:rsidP="001F0C67">
            <w:pPr>
              <w:pStyle w:val="TableHeadingLeft"/>
            </w:pPr>
          </w:p>
        </w:tc>
        <w:tc>
          <w:tcPr>
            <w:tcW w:w="1426" w:type="dxa"/>
            <w:tcBorders>
              <w:left w:val="single" w:sz="4" w:space="0" w:color="4A4D56" w:themeColor="text1"/>
              <w:bottom w:val="single" w:sz="4" w:space="0" w:color="4A4D56" w:themeColor="text1"/>
              <w:right w:val="single" w:sz="4" w:space="0" w:color="4A4D56" w:themeColor="text1"/>
            </w:tcBorders>
          </w:tcPr>
          <w:p w14:paraId="0BFF698A" w14:textId="150D0AFF" w:rsidR="001F0C67" w:rsidRPr="00625570" w:rsidRDefault="001F0C67" w:rsidP="001F0C67">
            <w:pPr>
              <w:pStyle w:val="TableHeadingCentered"/>
              <w:cnfStyle w:val="100000000000" w:firstRow="1" w:lastRow="0" w:firstColumn="0" w:lastColumn="0" w:oddVBand="0" w:evenVBand="0" w:oddHBand="0" w:evenHBand="0" w:firstRowFirstColumn="0" w:firstRowLastColumn="0" w:lastRowFirstColumn="0" w:lastRowLastColumn="0"/>
            </w:pPr>
            <w:r>
              <w:t>Animal Waste</w:t>
            </w:r>
          </w:p>
        </w:tc>
        <w:tc>
          <w:tcPr>
            <w:tcW w:w="1162" w:type="dxa"/>
            <w:tcBorders>
              <w:left w:val="single" w:sz="4" w:space="0" w:color="4A4D56" w:themeColor="text1"/>
              <w:bottom w:val="single" w:sz="4" w:space="0" w:color="4A4D56" w:themeColor="text1"/>
              <w:right w:val="single" w:sz="4" w:space="0" w:color="4A4D56" w:themeColor="text1"/>
            </w:tcBorders>
          </w:tcPr>
          <w:p w14:paraId="60809658" w14:textId="1F4B119A" w:rsidR="001F0C67" w:rsidRPr="00625570" w:rsidRDefault="001F0C67" w:rsidP="001F0C67">
            <w:pPr>
              <w:pStyle w:val="TableHeadingCentered"/>
              <w:cnfStyle w:val="100000000000" w:firstRow="1" w:lastRow="0" w:firstColumn="0" w:lastColumn="0" w:oddVBand="0" w:evenVBand="0" w:oddHBand="0" w:evenHBand="0" w:firstRowFirstColumn="0" w:firstRowLastColumn="0" w:lastRowFirstColumn="0" w:lastRowLastColumn="0"/>
            </w:pPr>
            <w:r>
              <w:t>Landfill Gas</w:t>
            </w:r>
          </w:p>
        </w:tc>
        <w:tc>
          <w:tcPr>
            <w:tcW w:w="3464" w:type="dxa"/>
            <w:tcBorders>
              <w:left w:val="single" w:sz="4" w:space="0" w:color="4A4D56" w:themeColor="text1"/>
              <w:bottom w:val="single" w:sz="4" w:space="0" w:color="4A4D56" w:themeColor="text1"/>
              <w:right w:val="single" w:sz="4" w:space="0" w:color="4A4D56" w:themeColor="text1"/>
            </w:tcBorders>
          </w:tcPr>
          <w:p w14:paraId="40148530" w14:textId="5EAEEB39" w:rsidR="001F0C67" w:rsidRPr="00625570" w:rsidRDefault="001F0C67" w:rsidP="001F0C67">
            <w:pPr>
              <w:pStyle w:val="TableHeadingCentered"/>
              <w:cnfStyle w:val="100000000000" w:firstRow="1" w:lastRow="0" w:firstColumn="0" w:lastColumn="0" w:oddVBand="0" w:evenVBand="0" w:oddHBand="0" w:evenHBand="0" w:firstRowFirstColumn="0" w:firstRowLastColumn="0" w:lastRowFirstColumn="0" w:lastRowLastColumn="0"/>
            </w:pPr>
            <w:r>
              <w:t>Wastewater Treatment Plant Sludge</w:t>
            </w:r>
          </w:p>
        </w:tc>
        <w:tc>
          <w:tcPr>
            <w:tcW w:w="2160" w:type="dxa"/>
            <w:tcBorders>
              <w:left w:val="single" w:sz="4" w:space="0" w:color="4A4D56" w:themeColor="text1"/>
              <w:bottom w:val="single" w:sz="4" w:space="0" w:color="4A4D56" w:themeColor="text1"/>
              <w:right w:val="single" w:sz="4" w:space="0" w:color="4A4D56" w:themeColor="text1"/>
            </w:tcBorders>
          </w:tcPr>
          <w:p w14:paraId="6E464665" w14:textId="3FF3DF21" w:rsidR="001F0C67" w:rsidRPr="00625570" w:rsidRDefault="001F0C67" w:rsidP="001F0C67">
            <w:pPr>
              <w:pStyle w:val="TableHeadingCentered"/>
              <w:cnfStyle w:val="100000000000" w:firstRow="1" w:lastRow="0" w:firstColumn="0" w:lastColumn="0" w:oddVBand="0" w:evenVBand="0" w:oddHBand="0" w:evenHBand="0" w:firstRowFirstColumn="0" w:firstRowLastColumn="0" w:lastRowFirstColumn="0" w:lastRowLastColumn="0"/>
            </w:pPr>
            <w:r>
              <w:t>Fats, Oils, and Greases</w:t>
            </w:r>
          </w:p>
        </w:tc>
      </w:tr>
      <w:tr w:rsidR="00A5545C" w14:paraId="77FAAA5E" w14:textId="77777777" w:rsidTr="00A434FB">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4A4D56" w:themeColor="text1"/>
            </w:tcBorders>
          </w:tcPr>
          <w:p w14:paraId="1523C586" w14:textId="38D4D97C" w:rsidR="00A5545C" w:rsidRPr="00625570" w:rsidRDefault="00A5545C" w:rsidP="00A5545C">
            <w:pPr>
              <w:pStyle w:val="TableLeftText"/>
            </w:pPr>
            <w:r w:rsidRPr="00C32ED9">
              <w:t xml:space="preserve">20% </w:t>
            </w:r>
            <w:r>
              <w:t>Biomethane</w:t>
            </w:r>
          </w:p>
        </w:tc>
        <w:tc>
          <w:tcPr>
            <w:tcW w:w="0" w:type="dxa"/>
            <w:tcBorders>
              <w:top w:val="single" w:sz="4" w:space="0" w:color="4A4D56" w:themeColor="text1"/>
            </w:tcBorders>
          </w:tcPr>
          <w:p w14:paraId="185D61B3" w14:textId="097BC635" w:rsidR="00A5545C" w:rsidRPr="000B7901" w:rsidRDefault="00A5545C" w:rsidP="00A434FB">
            <w:pPr>
              <w:pStyle w:val="TableCenterText"/>
              <w:jc w:val="right"/>
              <w:cnfStyle w:val="000000100000" w:firstRow="0" w:lastRow="0" w:firstColumn="0" w:lastColumn="0" w:oddVBand="0" w:evenVBand="0" w:oddHBand="1" w:evenHBand="0" w:firstRowFirstColumn="0" w:firstRowLastColumn="0" w:lastRowFirstColumn="0" w:lastRowLastColumn="0"/>
            </w:pPr>
            <w:r w:rsidRPr="007C66D6">
              <w:t xml:space="preserve"> 1,010 </w:t>
            </w:r>
          </w:p>
        </w:tc>
        <w:tc>
          <w:tcPr>
            <w:tcW w:w="0" w:type="dxa"/>
            <w:tcBorders>
              <w:top w:val="single" w:sz="4" w:space="0" w:color="4A4D56" w:themeColor="text1"/>
            </w:tcBorders>
          </w:tcPr>
          <w:p w14:paraId="5179D676" w14:textId="1DEF0E93" w:rsidR="00A5545C" w:rsidRPr="000B7901" w:rsidRDefault="00A5545C" w:rsidP="00A434FB">
            <w:pPr>
              <w:pStyle w:val="TableCenterText"/>
              <w:jc w:val="right"/>
              <w:cnfStyle w:val="000000100000" w:firstRow="0" w:lastRow="0" w:firstColumn="0" w:lastColumn="0" w:oddVBand="0" w:evenVBand="0" w:oddHBand="1" w:evenHBand="0" w:firstRowFirstColumn="0" w:firstRowLastColumn="0" w:lastRowFirstColumn="0" w:lastRowLastColumn="0"/>
            </w:pPr>
            <w:r w:rsidRPr="00236FB4">
              <w:t>1,182</w:t>
            </w:r>
          </w:p>
        </w:tc>
        <w:tc>
          <w:tcPr>
            <w:tcW w:w="0" w:type="dxa"/>
            <w:tcBorders>
              <w:top w:val="single" w:sz="4" w:space="0" w:color="4A4D56" w:themeColor="text1"/>
            </w:tcBorders>
          </w:tcPr>
          <w:p w14:paraId="4A253CD1" w14:textId="30341585" w:rsidR="00A5545C" w:rsidRPr="000B7901" w:rsidRDefault="00A5545C" w:rsidP="00A434FB">
            <w:pPr>
              <w:pStyle w:val="TableCenterText"/>
              <w:jc w:val="right"/>
              <w:cnfStyle w:val="000000100000" w:firstRow="0" w:lastRow="0" w:firstColumn="0" w:lastColumn="0" w:oddVBand="0" w:evenVBand="0" w:oddHBand="1" w:evenHBand="0" w:firstRowFirstColumn="0" w:firstRowLastColumn="0" w:lastRowFirstColumn="0" w:lastRowLastColumn="0"/>
            </w:pPr>
            <w:r w:rsidRPr="003A3A49">
              <w:t xml:space="preserve"> 541 </w:t>
            </w:r>
          </w:p>
        </w:tc>
        <w:tc>
          <w:tcPr>
            <w:tcW w:w="0" w:type="dxa"/>
            <w:tcBorders>
              <w:top w:val="single" w:sz="4" w:space="0" w:color="4A4D56" w:themeColor="text1"/>
            </w:tcBorders>
          </w:tcPr>
          <w:p w14:paraId="119AF080" w14:textId="2E7A48FF" w:rsidR="00A5545C" w:rsidRPr="000B7901" w:rsidRDefault="00A5545C" w:rsidP="00A434FB">
            <w:pPr>
              <w:pStyle w:val="TableCenterText"/>
              <w:jc w:val="right"/>
              <w:cnfStyle w:val="000000100000" w:firstRow="0" w:lastRow="0" w:firstColumn="0" w:lastColumn="0" w:oddVBand="0" w:evenVBand="0" w:oddHBand="1" w:evenHBand="0" w:firstRowFirstColumn="0" w:firstRowLastColumn="0" w:lastRowFirstColumn="0" w:lastRowLastColumn="0"/>
            </w:pPr>
            <w:r w:rsidRPr="00276BE7">
              <w:t xml:space="preserve"> 778 </w:t>
            </w:r>
          </w:p>
        </w:tc>
      </w:tr>
      <w:tr w:rsidR="00A5545C" w14:paraId="11230925" w14:textId="77777777" w:rsidTr="00A434FB">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0" w:type="dxa"/>
          </w:tcPr>
          <w:p w14:paraId="6666CEC2" w14:textId="6D1202E3" w:rsidR="00A5545C" w:rsidRPr="00625570" w:rsidRDefault="00A5545C" w:rsidP="00A5545C">
            <w:pPr>
              <w:pStyle w:val="TableLeftText"/>
            </w:pPr>
            <w:r w:rsidRPr="00C32ED9">
              <w:t xml:space="preserve">40% </w:t>
            </w:r>
            <w:r>
              <w:t>Biomethane</w:t>
            </w:r>
          </w:p>
        </w:tc>
        <w:tc>
          <w:tcPr>
            <w:tcW w:w="0" w:type="dxa"/>
          </w:tcPr>
          <w:p w14:paraId="1116E4A3" w14:textId="6C6F9D38" w:rsidR="00A5545C" w:rsidRPr="000B7901" w:rsidRDefault="00A5545C" w:rsidP="00A434FB">
            <w:pPr>
              <w:pStyle w:val="TableCenterText"/>
              <w:jc w:val="right"/>
              <w:cnfStyle w:val="000000010000" w:firstRow="0" w:lastRow="0" w:firstColumn="0" w:lastColumn="0" w:oddVBand="0" w:evenVBand="0" w:oddHBand="0" w:evenHBand="1" w:firstRowFirstColumn="0" w:firstRowLastColumn="0" w:lastRowFirstColumn="0" w:lastRowLastColumn="0"/>
            </w:pPr>
            <w:r w:rsidRPr="007C66D6">
              <w:t xml:space="preserve"> 2,020 </w:t>
            </w:r>
          </w:p>
        </w:tc>
        <w:tc>
          <w:tcPr>
            <w:tcW w:w="0" w:type="dxa"/>
          </w:tcPr>
          <w:p w14:paraId="364DF3DE" w14:textId="770ED7C5" w:rsidR="00A5545C" w:rsidRPr="000B7901" w:rsidRDefault="00A5545C" w:rsidP="00A434FB">
            <w:pPr>
              <w:pStyle w:val="TableCenterText"/>
              <w:jc w:val="right"/>
              <w:cnfStyle w:val="000000010000" w:firstRow="0" w:lastRow="0" w:firstColumn="0" w:lastColumn="0" w:oddVBand="0" w:evenVBand="0" w:oddHBand="0" w:evenHBand="1" w:firstRowFirstColumn="0" w:firstRowLastColumn="0" w:lastRowFirstColumn="0" w:lastRowLastColumn="0"/>
            </w:pPr>
            <w:r w:rsidRPr="00236FB4">
              <w:t>2,365</w:t>
            </w:r>
          </w:p>
        </w:tc>
        <w:tc>
          <w:tcPr>
            <w:tcW w:w="0" w:type="dxa"/>
          </w:tcPr>
          <w:p w14:paraId="67915D65" w14:textId="592A5F30" w:rsidR="00A5545C" w:rsidRPr="000B7901" w:rsidRDefault="00A5545C" w:rsidP="00A434FB">
            <w:pPr>
              <w:pStyle w:val="TableCenterText"/>
              <w:jc w:val="right"/>
              <w:cnfStyle w:val="000000010000" w:firstRow="0" w:lastRow="0" w:firstColumn="0" w:lastColumn="0" w:oddVBand="0" w:evenVBand="0" w:oddHBand="0" w:evenHBand="1" w:firstRowFirstColumn="0" w:firstRowLastColumn="0" w:lastRowFirstColumn="0" w:lastRowLastColumn="0"/>
            </w:pPr>
            <w:r w:rsidRPr="003A3A49">
              <w:t xml:space="preserve"> 1,082 </w:t>
            </w:r>
          </w:p>
        </w:tc>
        <w:tc>
          <w:tcPr>
            <w:tcW w:w="0" w:type="dxa"/>
          </w:tcPr>
          <w:p w14:paraId="4EB8CC0C" w14:textId="244F1A48" w:rsidR="00A5545C" w:rsidRPr="000B7901" w:rsidRDefault="00A5545C" w:rsidP="00A434FB">
            <w:pPr>
              <w:pStyle w:val="TableCenterText"/>
              <w:jc w:val="right"/>
              <w:cnfStyle w:val="000000010000" w:firstRow="0" w:lastRow="0" w:firstColumn="0" w:lastColumn="0" w:oddVBand="0" w:evenVBand="0" w:oddHBand="0" w:evenHBand="1" w:firstRowFirstColumn="0" w:firstRowLastColumn="0" w:lastRowFirstColumn="0" w:lastRowLastColumn="0"/>
            </w:pPr>
            <w:r w:rsidRPr="00276BE7">
              <w:t xml:space="preserve"> 1,556 </w:t>
            </w:r>
          </w:p>
        </w:tc>
      </w:tr>
      <w:tr w:rsidR="00A5545C" w14:paraId="6E2A0571" w14:textId="77777777" w:rsidTr="00A434FB">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0" w:type="dxa"/>
          </w:tcPr>
          <w:p w14:paraId="082298E7" w14:textId="2FB23BBD" w:rsidR="00A5545C" w:rsidRPr="00625570" w:rsidRDefault="00A5545C" w:rsidP="00A5545C">
            <w:pPr>
              <w:pStyle w:val="TableLeftText"/>
            </w:pPr>
            <w:r w:rsidRPr="00C32ED9">
              <w:t xml:space="preserve">60% </w:t>
            </w:r>
            <w:r>
              <w:t>Biomethane</w:t>
            </w:r>
          </w:p>
        </w:tc>
        <w:tc>
          <w:tcPr>
            <w:tcW w:w="0" w:type="dxa"/>
          </w:tcPr>
          <w:p w14:paraId="32507BD5" w14:textId="10EF4F81" w:rsidR="00A5545C" w:rsidRPr="000B7901" w:rsidRDefault="00A5545C" w:rsidP="00A434FB">
            <w:pPr>
              <w:pStyle w:val="TableCenterText"/>
              <w:jc w:val="right"/>
              <w:cnfStyle w:val="000000100000" w:firstRow="0" w:lastRow="0" w:firstColumn="0" w:lastColumn="0" w:oddVBand="0" w:evenVBand="0" w:oddHBand="1" w:evenHBand="0" w:firstRowFirstColumn="0" w:firstRowLastColumn="0" w:lastRowFirstColumn="0" w:lastRowLastColumn="0"/>
            </w:pPr>
            <w:r w:rsidRPr="007C66D6">
              <w:t xml:space="preserve"> 3,030 </w:t>
            </w:r>
          </w:p>
        </w:tc>
        <w:tc>
          <w:tcPr>
            <w:tcW w:w="0" w:type="dxa"/>
          </w:tcPr>
          <w:p w14:paraId="54AB70C5" w14:textId="0F788D84" w:rsidR="00A5545C" w:rsidRPr="000B7901" w:rsidRDefault="00A5545C" w:rsidP="00A434FB">
            <w:pPr>
              <w:pStyle w:val="TableCenterText"/>
              <w:jc w:val="right"/>
              <w:cnfStyle w:val="000000100000" w:firstRow="0" w:lastRow="0" w:firstColumn="0" w:lastColumn="0" w:oddVBand="0" w:evenVBand="0" w:oddHBand="1" w:evenHBand="0" w:firstRowFirstColumn="0" w:firstRowLastColumn="0" w:lastRowFirstColumn="0" w:lastRowLastColumn="0"/>
            </w:pPr>
            <w:r w:rsidRPr="00236FB4">
              <w:t>3,547</w:t>
            </w:r>
          </w:p>
        </w:tc>
        <w:tc>
          <w:tcPr>
            <w:tcW w:w="0" w:type="dxa"/>
          </w:tcPr>
          <w:p w14:paraId="50121FF7" w14:textId="4992A667" w:rsidR="00A5545C" w:rsidRPr="000B7901" w:rsidRDefault="00A5545C" w:rsidP="00A434FB">
            <w:pPr>
              <w:pStyle w:val="TableCenterText"/>
              <w:jc w:val="right"/>
              <w:cnfStyle w:val="000000100000" w:firstRow="0" w:lastRow="0" w:firstColumn="0" w:lastColumn="0" w:oddVBand="0" w:evenVBand="0" w:oddHBand="1" w:evenHBand="0" w:firstRowFirstColumn="0" w:firstRowLastColumn="0" w:lastRowFirstColumn="0" w:lastRowLastColumn="0"/>
            </w:pPr>
            <w:r w:rsidRPr="003A3A49">
              <w:t xml:space="preserve"> 1,624 </w:t>
            </w:r>
          </w:p>
        </w:tc>
        <w:tc>
          <w:tcPr>
            <w:tcW w:w="0" w:type="dxa"/>
          </w:tcPr>
          <w:p w14:paraId="62611DDF" w14:textId="09B0061D" w:rsidR="00A5545C" w:rsidRPr="000B7901" w:rsidRDefault="00A5545C" w:rsidP="00A434FB">
            <w:pPr>
              <w:pStyle w:val="TableCenterText"/>
              <w:jc w:val="right"/>
              <w:cnfStyle w:val="000000100000" w:firstRow="0" w:lastRow="0" w:firstColumn="0" w:lastColumn="0" w:oddVBand="0" w:evenVBand="0" w:oddHBand="1" w:evenHBand="0" w:firstRowFirstColumn="0" w:firstRowLastColumn="0" w:lastRowFirstColumn="0" w:lastRowLastColumn="0"/>
            </w:pPr>
            <w:r w:rsidRPr="00276BE7">
              <w:t xml:space="preserve"> 2,334 </w:t>
            </w:r>
          </w:p>
        </w:tc>
      </w:tr>
      <w:tr w:rsidR="00A5545C" w14:paraId="2DBF2ADB" w14:textId="77777777" w:rsidTr="00A434FB">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0" w:type="dxa"/>
          </w:tcPr>
          <w:p w14:paraId="5D1FA727" w14:textId="2FE3FCB5" w:rsidR="00A5545C" w:rsidRPr="00625570" w:rsidRDefault="00A5545C" w:rsidP="00A5545C">
            <w:pPr>
              <w:pStyle w:val="TableLeftText"/>
            </w:pPr>
            <w:r w:rsidRPr="00C32ED9">
              <w:t xml:space="preserve">80% </w:t>
            </w:r>
            <w:r>
              <w:t>Biomethane</w:t>
            </w:r>
          </w:p>
        </w:tc>
        <w:tc>
          <w:tcPr>
            <w:tcW w:w="0" w:type="dxa"/>
          </w:tcPr>
          <w:p w14:paraId="225C5A9D" w14:textId="47C9B98A" w:rsidR="00A5545C" w:rsidRPr="000B7901" w:rsidRDefault="00A5545C" w:rsidP="00A434FB">
            <w:pPr>
              <w:pStyle w:val="TableCenterText"/>
              <w:jc w:val="right"/>
              <w:cnfStyle w:val="000000010000" w:firstRow="0" w:lastRow="0" w:firstColumn="0" w:lastColumn="0" w:oddVBand="0" w:evenVBand="0" w:oddHBand="0" w:evenHBand="1" w:firstRowFirstColumn="0" w:firstRowLastColumn="0" w:lastRowFirstColumn="0" w:lastRowLastColumn="0"/>
            </w:pPr>
            <w:r w:rsidRPr="007C66D6">
              <w:t xml:space="preserve"> 4,040 </w:t>
            </w:r>
          </w:p>
        </w:tc>
        <w:tc>
          <w:tcPr>
            <w:tcW w:w="0" w:type="dxa"/>
          </w:tcPr>
          <w:p w14:paraId="4C0CEB89" w14:textId="1ED9B8A1" w:rsidR="00A5545C" w:rsidRPr="000B7901" w:rsidRDefault="00A5545C" w:rsidP="00A434FB">
            <w:pPr>
              <w:pStyle w:val="TableCenterText"/>
              <w:jc w:val="right"/>
              <w:cnfStyle w:val="000000010000" w:firstRow="0" w:lastRow="0" w:firstColumn="0" w:lastColumn="0" w:oddVBand="0" w:evenVBand="0" w:oddHBand="0" w:evenHBand="1" w:firstRowFirstColumn="0" w:firstRowLastColumn="0" w:lastRowFirstColumn="0" w:lastRowLastColumn="0"/>
            </w:pPr>
            <w:r w:rsidRPr="00236FB4">
              <w:t>4,729</w:t>
            </w:r>
          </w:p>
        </w:tc>
        <w:tc>
          <w:tcPr>
            <w:tcW w:w="0" w:type="dxa"/>
          </w:tcPr>
          <w:p w14:paraId="26B4D0F2" w14:textId="1A06A1D3" w:rsidR="00A5545C" w:rsidRPr="000B7901" w:rsidRDefault="00A5545C" w:rsidP="00A434FB">
            <w:pPr>
              <w:pStyle w:val="TableCenterText"/>
              <w:jc w:val="right"/>
              <w:cnfStyle w:val="000000010000" w:firstRow="0" w:lastRow="0" w:firstColumn="0" w:lastColumn="0" w:oddVBand="0" w:evenVBand="0" w:oddHBand="0" w:evenHBand="1" w:firstRowFirstColumn="0" w:firstRowLastColumn="0" w:lastRowFirstColumn="0" w:lastRowLastColumn="0"/>
            </w:pPr>
            <w:r w:rsidRPr="003A3A49">
              <w:t xml:space="preserve"> 2,165 </w:t>
            </w:r>
          </w:p>
        </w:tc>
        <w:tc>
          <w:tcPr>
            <w:tcW w:w="0" w:type="dxa"/>
          </w:tcPr>
          <w:p w14:paraId="01C09628" w14:textId="40E744BA" w:rsidR="00A5545C" w:rsidRPr="000B7901" w:rsidRDefault="00A5545C" w:rsidP="00A434FB">
            <w:pPr>
              <w:pStyle w:val="TableCenterText"/>
              <w:jc w:val="right"/>
              <w:cnfStyle w:val="000000010000" w:firstRow="0" w:lastRow="0" w:firstColumn="0" w:lastColumn="0" w:oddVBand="0" w:evenVBand="0" w:oddHBand="0" w:evenHBand="1" w:firstRowFirstColumn="0" w:firstRowLastColumn="0" w:lastRowFirstColumn="0" w:lastRowLastColumn="0"/>
            </w:pPr>
            <w:r w:rsidRPr="00276BE7">
              <w:t xml:space="preserve"> 3,112 </w:t>
            </w:r>
          </w:p>
        </w:tc>
      </w:tr>
      <w:tr w:rsidR="00A5545C" w14:paraId="2BD69994" w14:textId="77777777" w:rsidTr="00A434FB">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0" w:type="dxa"/>
          </w:tcPr>
          <w:p w14:paraId="19DBCF81" w14:textId="3B117E11" w:rsidR="00A5545C" w:rsidRPr="00625570" w:rsidRDefault="00A5545C" w:rsidP="00A5545C">
            <w:pPr>
              <w:pStyle w:val="TableLeftText"/>
            </w:pPr>
            <w:r w:rsidRPr="00C32ED9">
              <w:t xml:space="preserve">100% </w:t>
            </w:r>
            <w:r>
              <w:t>Biomethane</w:t>
            </w:r>
          </w:p>
        </w:tc>
        <w:tc>
          <w:tcPr>
            <w:tcW w:w="0" w:type="dxa"/>
          </w:tcPr>
          <w:p w14:paraId="20B44754" w14:textId="20DFCD62" w:rsidR="00A5545C" w:rsidRPr="000B7901" w:rsidRDefault="00A5545C" w:rsidP="00A434FB">
            <w:pPr>
              <w:pStyle w:val="TableCenterText"/>
              <w:jc w:val="right"/>
              <w:cnfStyle w:val="000000100000" w:firstRow="0" w:lastRow="0" w:firstColumn="0" w:lastColumn="0" w:oddVBand="0" w:evenVBand="0" w:oddHBand="1" w:evenHBand="0" w:firstRowFirstColumn="0" w:firstRowLastColumn="0" w:lastRowFirstColumn="0" w:lastRowLastColumn="0"/>
            </w:pPr>
            <w:r w:rsidRPr="007C66D6">
              <w:t xml:space="preserve"> 5,051 </w:t>
            </w:r>
          </w:p>
        </w:tc>
        <w:tc>
          <w:tcPr>
            <w:tcW w:w="0" w:type="dxa"/>
          </w:tcPr>
          <w:p w14:paraId="3F213596" w14:textId="218CAA65" w:rsidR="00A5545C" w:rsidRPr="000B7901" w:rsidRDefault="00A5545C" w:rsidP="00A434FB">
            <w:pPr>
              <w:pStyle w:val="TableCenterText"/>
              <w:jc w:val="right"/>
              <w:cnfStyle w:val="000000100000" w:firstRow="0" w:lastRow="0" w:firstColumn="0" w:lastColumn="0" w:oddVBand="0" w:evenVBand="0" w:oddHBand="1" w:evenHBand="0" w:firstRowFirstColumn="0" w:firstRowLastColumn="0" w:lastRowFirstColumn="0" w:lastRowLastColumn="0"/>
            </w:pPr>
            <w:r w:rsidRPr="00236FB4">
              <w:t>5,911</w:t>
            </w:r>
          </w:p>
        </w:tc>
        <w:tc>
          <w:tcPr>
            <w:tcW w:w="0" w:type="dxa"/>
          </w:tcPr>
          <w:p w14:paraId="78118DAF" w14:textId="0B7ADE6B" w:rsidR="00A5545C" w:rsidRPr="000B7901" w:rsidRDefault="00A5545C" w:rsidP="00A434FB">
            <w:pPr>
              <w:pStyle w:val="TableCenterText"/>
              <w:jc w:val="right"/>
              <w:cnfStyle w:val="000000100000" w:firstRow="0" w:lastRow="0" w:firstColumn="0" w:lastColumn="0" w:oddVBand="0" w:evenVBand="0" w:oddHBand="1" w:evenHBand="0" w:firstRowFirstColumn="0" w:firstRowLastColumn="0" w:lastRowFirstColumn="0" w:lastRowLastColumn="0"/>
            </w:pPr>
            <w:r w:rsidRPr="003A3A49">
              <w:t xml:space="preserve"> 2,706 </w:t>
            </w:r>
          </w:p>
        </w:tc>
        <w:tc>
          <w:tcPr>
            <w:tcW w:w="0" w:type="dxa"/>
          </w:tcPr>
          <w:p w14:paraId="54757CBE" w14:textId="03446446" w:rsidR="00A5545C" w:rsidRPr="000B7901" w:rsidRDefault="00A5545C" w:rsidP="00A434FB">
            <w:pPr>
              <w:pStyle w:val="TableCenterText"/>
              <w:jc w:val="right"/>
              <w:cnfStyle w:val="000000100000" w:firstRow="0" w:lastRow="0" w:firstColumn="0" w:lastColumn="0" w:oddVBand="0" w:evenVBand="0" w:oddHBand="1" w:evenHBand="0" w:firstRowFirstColumn="0" w:firstRowLastColumn="0" w:lastRowFirstColumn="0" w:lastRowLastColumn="0"/>
            </w:pPr>
            <w:r w:rsidRPr="00276BE7">
              <w:t xml:space="preserve"> 3,890 </w:t>
            </w:r>
          </w:p>
        </w:tc>
      </w:tr>
    </w:tbl>
    <w:p w14:paraId="6820C7B6" w14:textId="72959D9A" w:rsidR="009C582F" w:rsidRDefault="009C582F" w:rsidP="009C582F">
      <w:pPr>
        <w:pStyle w:val="Heading4"/>
      </w:pPr>
      <w:bookmarkStart w:id="12" w:name="_Ref175819235"/>
      <w:r>
        <w:t xml:space="preserve">Decarbonization </w:t>
      </w:r>
      <w:r w:rsidRPr="00AF1550">
        <w:t xml:space="preserve">and Energy </w:t>
      </w:r>
      <w:r w:rsidR="00B62B1C">
        <w:t>I</w:t>
      </w:r>
      <w:r w:rsidR="00B62B1C" w:rsidRPr="00AF1550">
        <w:t xml:space="preserve">mpacts </w:t>
      </w:r>
      <w:commentRangeStart w:id="13"/>
      <w:commentRangeStart w:id="14"/>
      <w:commentRangeStart w:id="15"/>
      <w:r>
        <w:t>Algorithms</w:t>
      </w:r>
      <w:bookmarkEnd w:id="12"/>
      <w:commentRangeEnd w:id="13"/>
      <w:r w:rsidR="00A5545C">
        <w:rPr>
          <w:rStyle w:val="CommentReference"/>
          <w:rFonts w:ascii="Franklin Gothic Book" w:hAnsi="Franklin Gothic Book" w:cs="Times New Roman"/>
          <w:bCs w:val="0"/>
          <w:color w:val="4A4D56" w:themeColor="text1"/>
        </w:rPr>
        <w:commentReference w:id="13"/>
      </w:r>
      <w:commentRangeEnd w:id="14"/>
      <w:r w:rsidR="00A5545C">
        <w:rPr>
          <w:rStyle w:val="CommentReference"/>
          <w:rFonts w:ascii="Franklin Gothic Book" w:hAnsi="Franklin Gothic Book" w:cs="Times New Roman"/>
          <w:bCs w:val="0"/>
          <w:color w:val="4A4D56" w:themeColor="text1"/>
        </w:rPr>
        <w:commentReference w:id="14"/>
      </w:r>
      <w:commentRangeEnd w:id="15"/>
      <w:r w:rsidR="00A434FB">
        <w:rPr>
          <w:rStyle w:val="CommentReference"/>
          <w:rFonts w:ascii="Franklin Gothic Book" w:hAnsi="Franklin Gothic Book" w:cs="Times New Roman"/>
          <w:bCs w:val="0"/>
          <w:color w:val="4A4D56" w:themeColor="text1"/>
        </w:rPr>
        <w:commentReference w:id="15"/>
      </w:r>
    </w:p>
    <w:p w14:paraId="23FF46A6" w14:textId="2968975C" w:rsidR="00C62485" w:rsidRPr="00AF1550" w:rsidRDefault="00C62485" w:rsidP="00C62485">
      <w:pPr>
        <w:ind w:left="720"/>
      </w:pPr>
      <w:r w:rsidRPr="00AF1550">
        <w:t>CO</w:t>
      </w:r>
      <w:r w:rsidRPr="00A434FB">
        <w:rPr>
          <w:vertAlign w:val="subscript"/>
        </w:rPr>
        <w:t>2</w:t>
      </w:r>
      <w:r w:rsidRPr="00AF1550">
        <w:t>e (gCO</w:t>
      </w:r>
      <w:r w:rsidRPr="00A434FB">
        <w:rPr>
          <w:vertAlign w:val="subscript"/>
        </w:rPr>
        <w:t>2</w:t>
      </w:r>
      <w:r w:rsidRPr="00AF1550">
        <w:t xml:space="preserve">e) = </w:t>
      </w:r>
      <m:oMath>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base</m:t>
                </m:r>
              </m:sub>
            </m:sSub>
            <m:r>
              <w:rPr>
                <w:rFonts w:ascii="Cambria Math" w:hAnsi="Cambria Math"/>
              </w:rPr>
              <m:t>-</m:t>
            </m:r>
            <m:sSub>
              <m:sSubPr>
                <m:ctrlPr>
                  <w:rPr>
                    <w:rFonts w:ascii="Cambria Math" w:hAnsi="Cambria Math"/>
                    <w:i/>
                  </w:rPr>
                </m:ctrlPr>
              </m:sSubPr>
              <m:e>
                <m:r>
                  <w:rPr>
                    <w:rFonts w:ascii="Cambria Math" w:hAnsi="Cambria Math"/>
                  </w:rPr>
                  <m:t>CI</m:t>
                </m:r>
              </m:e>
              <m:sub>
                <m:r>
                  <w:rPr>
                    <w:rFonts w:ascii="Cambria Math" w:hAnsi="Cambria Math"/>
                  </w:rPr>
                  <m:t>prop</m:t>
                </m:r>
              </m:sub>
            </m:sSub>
          </m:e>
        </m:d>
        <m:r>
          <w:rPr>
            <w:rFonts w:ascii="Cambria Math" w:hAnsi="Cambria Math"/>
          </w:rPr>
          <m:t>×E</m:t>
        </m:r>
      </m:oMath>
    </w:p>
    <w:p w14:paraId="6259C264" w14:textId="77777777" w:rsidR="00257E63" w:rsidRPr="00AF1550" w:rsidRDefault="00A86DE3" w:rsidP="00257E63">
      <w:pPr>
        <w:ind w:left="1440"/>
      </w:pPr>
      <w:proofErr w:type="spellStart"/>
      <w:r>
        <w:t>CI</w:t>
      </w:r>
      <w:r w:rsidR="00C62485" w:rsidRPr="00AF1550">
        <w:rPr>
          <w:vertAlign w:val="subscript"/>
        </w:rPr>
        <w:t>base</w:t>
      </w:r>
      <w:proofErr w:type="spellEnd"/>
      <w:r w:rsidR="00C62485" w:rsidRPr="00AF1550">
        <w:t xml:space="preserve"> = </w:t>
      </w:r>
      <w:bookmarkStart w:id="16" w:name="_Hlk168921473"/>
      <w:r w:rsidR="00E24A4F">
        <w:t>N</w:t>
      </w:r>
      <w:r w:rsidR="00C62485">
        <w:t xml:space="preserve">atural gas </w:t>
      </w:r>
      <w:r w:rsidR="00E24A4F">
        <w:t>carbon intensity value (</w:t>
      </w:r>
      <w:r w:rsidR="00C62485">
        <w:t>gCO</w:t>
      </w:r>
      <w:r w:rsidR="00C62485" w:rsidRPr="00A5545C">
        <w:rPr>
          <w:vertAlign w:val="subscript"/>
        </w:rPr>
        <w:t>2</w:t>
      </w:r>
      <w:r w:rsidR="00C62485" w:rsidRPr="00A45E83">
        <w:t>e</w:t>
      </w:r>
      <w:r w:rsidR="00C62485">
        <w:t>/MJ</w:t>
      </w:r>
      <w:r w:rsidR="00E24A4F">
        <w:t>)</w:t>
      </w:r>
      <w:r w:rsidR="00C62485">
        <w:t xml:space="preserve">. </w:t>
      </w:r>
      <w:bookmarkStart w:id="17" w:name="_Hlk175734515"/>
      <w:bookmarkEnd w:id="16"/>
      <w:r w:rsidR="00257E63">
        <w:t>Varies by year; see &lt;EMISSIONS SCHEDULE&gt; in &lt;FRONT MATTER SECTION&gt;.</w:t>
      </w:r>
    </w:p>
    <w:p w14:paraId="0279A7E8" w14:textId="67C981C2" w:rsidR="00C62485" w:rsidRDefault="00A86DE3" w:rsidP="00C62485">
      <w:pPr>
        <w:ind w:left="1440"/>
      </w:pPr>
      <w:proofErr w:type="spellStart"/>
      <w:r>
        <w:t>CI</w:t>
      </w:r>
      <w:r w:rsidR="00C62485" w:rsidRPr="00AF1550">
        <w:rPr>
          <w:vertAlign w:val="subscript"/>
        </w:rPr>
        <w:t>prop</w:t>
      </w:r>
      <w:bookmarkEnd w:id="17"/>
      <w:proofErr w:type="spellEnd"/>
      <w:r w:rsidR="00C62485" w:rsidRPr="00AF1550">
        <w:t xml:space="preserve"> = </w:t>
      </w:r>
      <w:r w:rsidR="00E24A4F">
        <w:t>B</w:t>
      </w:r>
      <w:r w:rsidR="00C62485">
        <w:t>iomethane</w:t>
      </w:r>
      <w:r w:rsidR="00C62485" w:rsidRPr="00AF1550">
        <w:t xml:space="preserve"> </w:t>
      </w:r>
      <w:r w:rsidR="00E24A4F">
        <w:t>carbon intensity value (</w:t>
      </w:r>
      <w:r w:rsidR="00C62485">
        <w:t>gCO</w:t>
      </w:r>
      <w:r w:rsidR="00C62485" w:rsidRPr="00A5545C">
        <w:rPr>
          <w:vertAlign w:val="subscript"/>
        </w:rPr>
        <w:t>2</w:t>
      </w:r>
      <w:r w:rsidR="00C62485" w:rsidRPr="00A45E83">
        <w:t>e</w:t>
      </w:r>
      <w:r w:rsidR="00C62485">
        <w:t>/MJ</w:t>
      </w:r>
      <w:r w:rsidR="00E24A4F">
        <w:t>)</w:t>
      </w:r>
      <w:r w:rsidR="00C62485">
        <w:t>, based on fuel</w:t>
      </w:r>
      <w:r w:rsidR="00525B2C">
        <w:t xml:space="preserve"> </w:t>
      </w:r>
      <w:r w:rsidR="00C62485">
        <w:t>pathway</w:t>
      </w:r>
      <w:r w:rsidR="00C62485" w:rsidRPr="00AF1550">
        <w:t xml:space="preserve">. </w:t>
      </w:r>
      <w:r w:rsidR="00257E63">
        <w:t>Varies by year; see &lt;EMISSIONS SCHEDULE&gt; in &lt;FRONT MATTER SECTION&gt;.</w:t>
      </w:r>
      <w:r w:rsidR="00C62485" w:rsidRPr="00AF1550">
        <w:t xml:space="preserve"> </w:t>
      </w:r>
      <w:r w:rsidR="00C62485">
        <w:t>If a blend of biomethane from various pathways</w:t>
      </w:r>
      <w:r w:rsidR="00C62485" w:rsidRPr="007F7B41">
        <w:t xml:space="preserve"> </w:t>
      </w:r>
      <w:r w:rsidR="00C62485" w:rsidRPr="007B762C">
        <w:t>is used, then develop a weighted average</w:t>
      </w:r>
      <w:r w:rsidR="00C62485">
        <w:t xml:space="preserve"> by volume</w:t>
      </w:r>
      <w:r w:rsidR="00C62485" w:rsidRPr="007B762C">
        <w:t>.</w:t>
      </w:r>
      <w:r w:rsidR="00C62485">
        <w:t xml:space="preserve"> </w:t>
      </w:r>
    </w:p>
    <w:p w14:paraId="102B1E57" w14:textId="39101BCE" w:rsidR="00C62485" w:rsidRDefault="00C62485" w:rsidP="00C62485">
      <w:pPr>
        <w:ind w:left="1440"/>
      </w:pPr>
      <w:r w:rsidRPr="007313F2">
        <w:t>Ε</w:t>
      </w:r>
      <w:r>
        <w:t xml:space="preserve"> = The total energy of the </w:t>
      </w:r>
      <w:r w:rsidR="00A5545C">
        <w:t xml:space="preserve">biomethane </w:t>
      </w:r>
      <w:r>
        <w:t>delivered to the end-user in megajoules.</w:t>
      </w:r>
    </w:p>
    <w:p w14:paraId="28A17546" w14:textId="11DF92E2" w:rsidR="009C582F" w:rsidRDefault="009C582F" w:rsidP="00427501">
      <w:pPr>
        <w:pStyle w:val="Heading5"/>
        <w:keepNext/>
        <w:keepLines/>
        <w:ind w:firstLine="720"/>
      </w:pPr>
      <w:r w:rsidRPr="00AF1550">
        <w:lastRenderedPageBreak/>
        <w:t xml:space="preserve">Energy </w:t>
      </w:r>
      <w:r w:rsidR="00B62B1C">
        <w:t>I</w:t>
      </w:r>
      <w:r w:rsidR="00B62B1C" w:rsidRPr="00AF1550">
        <w:t xml:space="preserve">mpacts </w:t>
      </w:r>
      <w:r w:rsidRPr="00AF1550">
        <w:t>Algorithms</w:t>
      </w:r>
    </w:p>
    <w:p w14:paraId="551CB401" w14:textId="4E7C4B37" w:rsidR="009C582F" w:rsidRDefault="009C582F" w:rsidP="009C582F">
      <w:r>
        <w:tab/>
        <w:t xml:space="preserve">E = </w:t>
      </w:r>
      <m:oMath>
        <m:d>
          <m:dPr>
            <m:ctrlPr>
              <w:rPr>
                <w:rFonts w:ascii="Cambria Math" w:hAnsi="Cambria Math"/>
                <w:i/>
              </w:rPr>
            </m:ctrlPr>
          </m:dPr>
          <m:e>
            <m:sSub>
              <m:sSubPr>
                <m:ctrlPr>
                  <w:rPr>
                    <w:rFonts w:ascii="Cambria Math" w:hAnsi="Cambria Math"/>
                    <w:i/>
                  </w:rPr>
                </m:ctrlPr>
              </m:sSubPr>
              <m:e>
                <m:r>
                  <w:rPr>
                    <w:rFonts w:ascii="Cambria Math" w:hAnsi="Cambria Math"/>
                  </w:rPr>
                  <m:t>V</m:t>
                </m:r>
              </m:e>
              <m:sub>
                <m:r>
                  <w:rPr>
                    <w:rFonts w:ascii="Cambria Math" w:hAnsi="Cambria Math"/>
                  </w:rPr>
                  <m:t>delivered</m:t>
                </m:r>
              </m:sub>
            </m:sSub>
            <m:r>
              <w:rPr>
                <w:rFonts w:ascii="Cambria Math" w:hAnsi="Cambria Math"/>
              </w:rPr>
              <m:t xml:space="preserve">×%Thermal× </m:t>
            </m:r>
            <m:sSub>
              <m:sSubPr>
                <m:ctrlPr>
                  <w:rPr>
                    <w:rFonts w:ascii="Cambria Math" w:hAnsi="Cambria Math"/>
                    <w:i/>
                  </w:rPr>
                </m:ctrlPr>
              </m:sSubPr>
              <m:e>
                <m:r>
                  <w:rPr>
                    <w:rFonts w:ascii="Cambria Math" w:hAnsi="Cambria Math"/>
                  </w:rPr>
                  <m:t>P</m:t>
                </m:r>
              </m:e>
              <m:sub>
                <m:r>
                  <w:rPr>
                    <w:rFonts w:ascii="Cambria Math" w:hAnsi="Cambria Math"/>
                  </w:rPr>
                  <m:t>RNG</m:t>
                </m:r>
              </m:sub>
            </m:sSub>
            <m:r>
              <w:rPr>
                <w:rFonts w:ascii="Cambria Math" w:hAnsi="Cambria Math"/>
              </w:rPr>
              <m:t>×LHV×</m:t>
            </m:r>
            <m:d>
              <m:dPr>
                <m:ctrlPr>
                  <w:rPr>
                    <w:rFonts w:ascii="Cambria Math" w:hAnsi="Cambria Math"/>
                    <w:i/>
                  </w:rPr>
                </m:ctrlPr>
              </m:dPr>
              <m:e>
                <m:r>
                  <w:rPr>
                    <w:rFonts w:ascii="Cambria Math" w:hAnsi="Cambria Math"/>
                  </w:rPr>
                  <m:t>1+PLL</m:t>
                </m:r>
              </m:e>
            </m:d>
          </m:e>
        </m:d>
      </m:oMath>
    </w:p>
    <w:p w14:paraId="35C4B504" w14:textId="1D180574" w:rsidR="00C62485" w:rsidRDefault="00C62485" w:rsidP="00D93D6D">
      <w:pPr>
        <w:keepNext/>
        <w:keepLines/>
        <w:ind w:left="720"/>
        <w:rPr>
          <w:b/>
          <w:bCs/>
        </w:rPr>
      </w:pPr>
      <w:r w:rsidRPr="00D035ED">
        <w:rPr>
          <w:b/>
          <w:bCs/>
        </w:rPr>
        <w:t xml:space="preserve">Input </w:t>
      </w:r>
      <w:r>
        <w:rPr>
          <w:b/>
          <w:bCs/>
        </w:rPr>
        <w:t>V</w:t>
      </w:r>
      <w:r w:rsidRPr="00D035ED">
        <w:rPr>
          <w:b/>
          <w:bCs/>
        </w:rPr>
        <w:t xml:space="preserve">ariable </w:t>
      </w:r>
      <w:r>
        <w:rPr>
          <w:b/>
          <w:bCs/>
        </w:rPr>
        <w:t>D</w:t>
      </w:r>
      <w:r w:rsidRPr="00D035ED">
        <w:rPr>
          <w:b/>
          <w:bCs/>
        </w:rPr>
        <w:t>efinitions</w:t>
      </w:r>
    </w:p>
    <w:p w14:paraId="56613471" w14:textId="5FA8C074" w:rsidR="00C62485" w:rsidRDefault="00C62485" w:rsidP="00C62485">
      <w:pPr>
        <w:ind w:left="1440"/>
      </w:pPr>
      <w:proofErr w:type="spellStart"/>
      <w:r>
        <w:t>V</w:t>
      </w:r>
      <w:r>
        <w:rPr>
          <w:vertAlign w:val="subscript"/>
        </w:rPr>
        <w:t>delivered</w:t>
      </w:r>
      <w:proofErr w:type="spellEnd"/>
      <w:r>
        <w:t xml:space="preserve"> = The total volume of gas that is delivered to the end-user</w:t>
      </w:r>
      <w:r w:rsidRPr="001F6D6A">
        <w:t xml:space="preserve"> </w:t>
      </w:r>
      <w:r>
        <w:t xml:space="preserve">in units of 100 cubic feet. </w:t>
      </w:r>
    </w:p>
    <w:p w14:paraId="432261CC" w14:textId="7F6EF769" w:rsidR="009B4519" w:rsidRDefault="009B4519" w:rsidP="009B4519">
      <w:pPr>
        <w:ind w:left="1440"/>
      </w:pPr>
      <w:r>
        <w:t xml:space="preserve">% Thermal = Share of gas used in the thermal sector. </w:t>
      </w:r>
      <w:r w:rsidR="00800B51">
        <w:t xml:space="preserve">For </w:t>
      </w:r>
      <w:r w:rsidR="00E24A4F">
        <w:t xml:space="preserve">residential </w:t>
      </w:r>
      <w:r w:rsidR="00800B51">
        <w:t xml:space="preserve">and </w:t>
      </w:r>
      <w:r w:rsidR="00E24A4F">
        <w:t xml:space="preserve">commercial </w:t>
      </w:r>
      <w:r w:rsidR="00800B51">
        <w:t xml:space="preserve">applications, assume 100%. </w:t>
      </w:r>
      <w:commentRangeStart w:id="18"/>
      <w:r w:rsidR="00800B51">
        <w:t xml:space="preserve">For </w:t>
      </w:r>
      <w:r w:rsidR="00E24A4F">
        <w:t xml:space="preserve">industrial </w:t>
      </w:r>
      <w:r w:rsidR="00800B51">
        <w:t xml:space="preserve">applications, assume </w:t>
      </w:r>
      <w:r w:rsidR="00080878">
        <w:t>68</w:t>
      </w:r>
      <w:r w:rsidR="00800B51">
        <w:t>%.</w:t>
      </w:r>
      <w:r w:rsidR="00800B51">
        <w:rPr>
          <w:rStyle w:val="FootnoteReference"/>
        </w:rPr>
        <w:footnoteReference w:id="2"/>
      </w:r>
      <w:commentRangeEnd w:id="18"/>
      <w:r w:rsidR="003039BF">
        <w:rPr>
          <w:rStyle w:val="CommentReference"/>
        </w:rPr>
        <w:commentReference w:id="18"/>
      </w:r>
    </w:p>
    <w:p w14:paraId="6A25B2A8" w14:textId="4BC89A5B" w:rsidR="00C62485" w:rsidRDefault="00C62485" w:rsidP="00C62485">
      <w:pPr>
        <w:ind w:left="1440"/>
      </w:pPr>
      <w:r>
        <w:t>P</w:t>
      </w:r>
      <w:r>
        <w:rPr>
          <w:vertAlign w:val="subscript"/>
        </w:rPr>
        <w:t>RNG</w:t>
      </w:r>
      <w:r w:rsidRPr="006C2C69">
        <w:t xml:space="preserve"> = </w:t>
      </w:r>
      <w:r>
        <w:t>The portion of gas that is biomethane (d</w:t>
      </w:r>
      <w:r w:rsidR="00E24A4F">
        <w:t>ef</w:t>
      </w:r>
      <w:r>
        <w:t>ined as a percentage by volume of all gas in the distribution system).</w:t>
      </w:r>
    </w:p>
    <w:p w14:paraId="4343CE8B" w14:textId="5354AD7E" w:rsidR="005742EA" w:rsidRDefault="00C62485" w:rsidP="00C62485">
      <w:pPr>
        <w:ind w:left="1440"/>
      </w:pPr>
      <w:r>
        <w:t xml:space="preserve">LHV = </w:t>
      </w:r>
      <w:bookmarkStart w:id="19" w:name="_Hlk175651500"/>
      <w:r>
        <w:t xml:space="preserve">Lower Heating Value of the fuel in units of MJ/CCF. </w:t>
      </w:r>
      <w:bookmarkEnd w:id="19"/>
      <w:r>
        <w:t>Natural gas and biomethane have the same LHV, 103.71 MJ/CCF.</w:t>
      </w:r>
      <w:r w:rsidR="005742EA">
        <w:rPr>
          <w:rStyle w:val="FootnoteReference"/>
        </w:rPr>
        <w:footnoteReference w:id="3"/>
      </w:r>
    </w:p>
    <w:p w14:paraId="1B577979" w14:textId="3ED8BBCB" w:rsidR="005742EA" w:rsidRDefault="00C62485" w:rsidP="00C62485">
      <w:r>
        <w:tab/>
      </w:r>
      <w:r>
        <w:tab/>
        <w:t>PLL = Pipeline loss factor, 0.09%</w:t>
      </w:r>
      <w:r w:rsidR="005742EA">
        <w:rPr>
          <w:rStyle w:val="FootnoteReference"/>
        </w:rPr>
        <w:footnoteReference w:id="4"/>
      </w:r>
    </w:p>
    <w:p w14:paraId="05DBDBAC" w14:textId="77777777" w:rsidR="00C62485" w:rsidRDefault="00C62485" w:rsidP="00C62485">
      <w:pPr>
        <w:ind w:firstLine="720"/>
        <w:rPr>
          <w:b/>
          <w:bCs/>
        </w:rPr>
      </w:pPr>
      <w:r w:rsidRPr="003643D2">
        <w:rPr>
          <w:b/>
          <w:bCs/>
        </w:rPr>
        <w:t>Measure Life</w:t>
      </w:r>
    </w:p>
    <w:p w14:paraId="5E86F840" w14:textId="23D86176" w:rsidR="00C62485" w:rsidRDefault="00C62485" w:rsidP="00C62485">
      <w:pPr>
        <w:ind w:left="1440"/>
      </w:pPr>
      <w:r>
        <w:t>Biomethane as a clean heat measure is not subject to a measure life, as the measure characterization is based on the volume of biomethane that is delivered to an end-user and used in the thermal sector.</w:t>
      </w:r>
    </w:p>
    <w:p w14:paraId="7AEE93E0" w14:textId="77777777" w:rsidR="00C62485" w:rsidRDefault="00C62485" w:rsidP="00C62485">
      <w:pPr>
        <w:ind w:firstLine="720"/>
        <w:rPr>
          <w:b/>
          <w:bCs/>
        </w:rPr>
      </w:pPr>
      <w:r w:rsidRPr="003643D2">
        <w:rPr>
          <w:b/>
          <w:bCs/>
        </w:rPr>
        <w:t>Measure Cost</w:t>
      </w:r>
    </w:p>
    <w:p w14:paraId="7A725A2A" w14:textId="6C708D58" w:rsidR="00D678B3" w:rsidRDefault="00C62485" w:rsidP="00C62485">
      <w:pPr>
        <w:ind w:left="1440"/>
      </w:pPr>
      <w:r>
        <w:t xml:space="preserve">The incremental cost of </w:t>
      </w:r>
      <w:r w:rsidR="00A367AF">
        <w:t>biomethane</w:t>
      </w:r>
      <w:r>
        <w:t xml:space="preserve"> over </w:t>
      </w:r>
      <w:r w:rsidR="00A367AF">
        <w:t>natural gas</w:t>
      </w:r>
      <w:r>
        <w:t>. Use actual costs.</w:t>
      </w:r>
    </w:p>
    <w:p w14:paraId="48F19E5F" w14:textId="77777777" w:rsidR="009C582F" w:rsidRDefault="009C582F" w:rsidP="009C582F">
      <w:pPr>
        <w:pStyle w:val="Heading4"/>
      </w:pPr>
      <w:r>
        <w:t>Program Data Tracking Recommendations</w:t>
      </w:r>
    </w:p>
    <w:p w14:paraId="3AE3DB98" w14:textId="77777777" w:rsidR="00A367AF" w:rsidRDefault="00A367AF" w:rsidP="00D93D6D">
      <w:r>
        <w:t>The key input variables for this measure are the following:</w:t>
      </w:r>
    </w:p>
    <w:p w14:paraId="526C3B72" w14:textId="1FC17DCA" w:rsidR="00A367AF" w:rsidRDefault="00A367AF" w:rsidP="00A367AF">
      <w:pPr>
        <w:pStyle w:val="ListBullet"/>
      </w:pPr>
      <w:r>
        <w:t>Volume of delivered gas to the end-user</w:t>
      </w:r>
    </w:p>
    <w:p w14:paraId="7E5A6A0B" w14:textId="31604A3C" w:rsidR="00A367AF" w:rsidRDefault="00A367AF" w:rsidP="00D93D6D">
      <w:pPr>
        <w:pStyle w:val="ListBullet"/>
      </w:pPr>
      <w:r>
        <w:t>Share of delivered gas that is used in the thermal sector</w:t>
      </w:r>
    </w:p>
    <w:p w14:paraId="1D316D77" w14:textId="667D5EB4" w:rsidR="00A367AF" w:rsidRDefault="00A367AF" w:rsidP="00D93D6D">
      <w:pPr>
        <w:pStyle w:val="ListBullet"/>
      </w:pPr>
      <w:r>
        <w:t>Percentage of biomethane in the Vermont natural gas distribution system</w:t>
      </w:r>
    </w:p>
    <w:p w14:paraId="2AA31937" w14:textId="77777777" w:rsidR="009C582F" w:rsidRDefault="009C582F" w:rsidP="009C582F">
      <w:pPr>
        <w:pStyle w:val="Heading4"/>
      </w:pPr>
      <w:r>
        <w:t xml:space="preserve">Energy Codes and </w:t>
      </w:r>
      <w:r w:rsidRPr="00C36178">
        <w:t>Standards</w:t>
      </w:r>
    </w:p>
    <w:p w14:paraId="39D9901A" w14:textId="77777777" w:rsidR="00A367AF" w:rsidRDefault="00A367AF" w:rsidP="00A367AF">
      <w:r>
        <w:t>None.</w:t>
      </w:r>
    </w:p>
    <w:p w14:paraId="0471B76C" w14:textId="6DFFA8BE" w:rsidR="005742EA" w:rsidRDefault="005742EA" w:rsidP="002203CC">
      <w:pPr>
        <w:pStyle w:val="Heading3"/>
      </w:pPr>
      <w:r>
        <w:lastRenderedPageBreak/>
        <w:t>Biodiesel</w:t>
      </w:r>
    </w:p>
    <w:p w14:paraId="19965AF1" w14:textId="77777777" w:rsidR="005742EA" w:rsidRPr="00FC7A76" w:rsidRDefault="005742EA" w:rsidP="005742EA">
      <w:pPr>
        <w:spacing w:after="0"/>
        <w:ind w:left="1080"/>
      </w:pPr>
      <w:r w:rsidRPr="00394B33">
        <w:rPr>
          <w:b/>
          <w:bCs/>
        </w:rPr>
        <w:t xml:space="preserve">CHS Measure ID: </w:t>
      </w:r>
      <w:bookmarkStart w:id="20" w:name="_Hlk175647314"/>
      <w:r>
        <w:t>ALL_FUEL_</w:t>
      </w:r>
      <w:bookmarkEnd w:id="20"/>
      <w:r>
        <w:t>BD</w:t>
      </w:r>
    </w:p>
    <w:p w14:paraId="382B8593" w14:textId="77777777" w:rsidR="005742EA" w:rsidRDefault="005742EA" w:rsidP="005742EA">
      <w:pPr>
        <w:spacing w:after="0"/>
        <w:ind w:left="1080"/>
        <w:rPr>
          <w:b/>
          <w:bCs/>
        </w:rPr>
      </w:pPr>
      <w:r>
        <w:rPr>
          <w:b/>
          <w:bCs/>
        </w:rPr>
        <w:t xml:space="preserve">Market Sector: </w:t>
      </w:r>
      <w:r>
        <w:t>All</w:t>
      </w:r>
    </w:p>
    <w:p w14:paraId="78B030D1" w14:textId="77777777" w:rsidR="005742EA" w:rsidRPr="0016490D" w:rsidRDefault="005742EA" w:rsidP="005742EA">
      <w:pPr>
        <w:spacing w:after="0"/>
        <w:ind w:left="1080"/>
      </w:pPr>
      <w:r>
        <w:rPr>
          <w:b/>
          <w:bCs/>
        </w:rPr>
        <w:t xml:space="preserve">End Use: </w:t>
      </w:r>
      <w:bookmarkStart w:id="21" w:name="_Hlk175647268"/>
      <w:r w:rsidRPr="00BE2E62">
        <w:t>Alternative Fuels</w:t>
      </w:r>
      <w:bookmarkEnd w:id="21"/>
      <w:r>
        <w:t xml:space="preserve"> </w:t>
      </w:r>
    </w:p>
    <w:p w14:paraId="1A4DA8A8" w14:textId="77777777" w:rsidR="005742EA" w:rsidRPr="003F16E4" w:rsidRDefault="005742EA" w:rsidP="005742EA">
      <w:pPr>
        <w:spacing w:after="0"/>
        <w:ind w:left="1080"/>
      </w:pPr>
      <w:r>
        <w:rPr>
          <w:b/>
          <w:bCs/>
        </w:rPr>
        <w:t xml:space="preserve">Applicable Building Types: </w:t>
      </w:r>
      <w:r>
        <w:t>All</w:t>
      </w:r>
    </w:p>
    <w:p w14:paraId="304BE9B5" w14:textId="77777777" w:rsidR="005742EA" w:rsidRDefault="005742EA" w:rsidP="005742EA">
      <w:pPr>
        <w:spacing w:after="0"/>
        <w:ind w:left="360" w:firstLine="720"/>
      </w:pPr>
      <w:r>
        <w:rPr>
          <w:b/>
          <w:bCs/>
        </w:rPr>
        <w:t xml:space="preserve">Decarbonization Pathways: </w:t>
      </w:r>
      <w:r w:rsidRPr="00BE2E62">
        <w:t>Alternative Fuels</w:t>
      </w:r>
    </w:p>
    <w:p w14:paraId="6B5192D4" w14:textId="217D6D53" w:rsidR="005742EA" w:rsidRPr="00963504" w:rsidRDefault="005742EA" w:rsidP="005742EA">
      <w:pPr>
        <w:spacing w:after="0"/>
        <w:ind w:left="1080"/>
      </w:pPr>
      <w:r>
        <w:rPr>
          <w:b/>
          <w:bCs/>
        </w:rPr>
        <w:t xml:space="preserve">Applicable Feedstocks: </w:t>
      </w:r>
      <w:r w:rsidR="002578BD">
        <w:t>Soybeans</w:t>
      </w:r>
      <w:r>
        <w:t>, canola, corn, and used cooking oil</w:t>
      </w:r>
    </w:p>
    <w:p w14:paraId="337AB332" w14:textId="45DC9D00" w:rsidR="005742EA" w:rsidRDefault="005742EA" w:rsidP="00610E15">
      <w:pPr>
        <w:pStyle w:val="Heading4"/>
        <w:keepNext/>
        <w:keepLines/>
        <w:tabs>
          <w:tab w:val="left" w:pos="3540"/>
        </w:tabs>
      </w:pPr>
      <w:r>
        <w:t>Measure Description</w:t>
      </w:r>
      <w:r w:rsidR="0098260D">
        <w:tab/>
      </w:r>
    </w:p>
    <w:p w14:paraId="2BB01FCF" w14:textId="60460B5E" w:rsidR="0040700C" w:rsidRDefault="005742EA" w:rsidP="00FF3FAB">
      <w:pPr>
        <w:ind w:left="720"/>
      </w:pPr>
      <w:r>
        <w:t xml:space="preserve">This measure involves the replacement of </w:t>
      </w:r>
      <w:r w:rsidR="002578BD">
        <w:t xml:space="preserve">fuel </w:t>
      </w:r>
      <w:r>
        <w:t>oil</w:t>
      </w:r>
      <w:r w:rsidR="002578BD">
        <w:t xml:space="preserve"> #2</w:t>
      </w:r>
      <w:r w:rsidR="003309E0">
        <w:t xml:space="preserve"> used in the thermal sector</w:t>
      </w:r>
      <w:r>
        <w:t xml:space="preserve"> with biodiesel. </w:t>
      </w:r>
      <w:r w:rsidR="0040700C">
        <w:t xml:space="preserve">Biodiesel is a </w:t>
      </w:r>
      <w:r w:rsidR="00FF3FAB">
        <w:t xml:space="preserve">liquid </w:t>
      </w:r>
      <w:r w:rsidR="0040700C">
        <w:t>renewable fuel manufactured through the transesterification of biological feedstocks such as vegetable oils.</w:t>
      </w:r>
      <w:r w:rsidR="0040700C">
        <w:rPr>
          <w:rStyle w:val="FootnoteReference"/>
        </w:rPr>
        <w:footnoteReference w:id="5"/>
      </w:r>
      <w:r w:rsidR="0040700C">
        <w:t xml:space="preserve"> </w:t>
      </w:r>
      <w:r w:rsidR="00612AFE">
        <w:t>This measure assumes that biodiesel is used as a drop-in replacement for an existing thermal use of fuel oil #2. While t</w:t>
      </w:r>
      <w:r w:rsidR="00FF3FAB">
        <w:t>his measure assumes that biodiesel is used as a drop-in replacement, it is important to note that b</w:t>
      </w:r>
      <w:r w:rsidR="0040700C">
        <w:t xml:space="preserve">iodiesel </w:t>
      </w:r>
      <w:r w:rsidR="00FF3FAB">
        <w:t>is chemically different from</w:t>
      </w:r>
      <w:r w:rsidR="0040700C">
        <w:t xml:space="preserve"> fuel oil #2</w:t>
      </w:r>
      <w:r w:rsidR="00FF3FAB">
        <w:t xml:space="preserve"> and exhibits a number of different characteristics</w:t>
      </w:r>
      <w:r w:rsidR="00612AFE">
        <w:t xml:space="preserve"> that mean it is not necessarily possible to use biodiesel as a drop-in replacement in all cases without additional steps</w:t>
      </w:r>
      <w:r w:rsidR="00FF3FAB">
        <w:t>.</w:t>
      </w:r>
      <w:r w:rsidR="00FF3FAB">
        <w:rPr>
          <w:rStyle w:val="FootnoteReference"/>
        </w:rPr>
        <w:footnoteReference w:id="6"/>
      </w:r>
      <w:r w:rsidR="00FF3FAB">
        <w:t xml:space="preserve"> </w:t>
      </w:r>
      <w:r w:rsidR="00612AFE">
        <w:t>R</w:t>
      </w:r>
      <w:r w:rsidR="00FF3FAB">
        <w:t>eplacement of fuel oil #2 with pure biodiesel may require</w:t>
      </w:r>
      <w:r w:rsidR="0040700C">
        <w:t xml:space="preserve"> equipment modifications</w:t>
      </w:r>
      <w:r w:rsidR="00612AFE">
        <w:t>;</w:t>
      </w:r>
      <w:r w:rsidR="0040700C">
        <w:t xml:space="preserve"> </w:t>
      </w:r>
      <w:r w:rsidR="00612AFE">
        <w:t>b</w:t>
      </w:r>
      <w:r w:rsidR="0040700C">
        <w:t>iodiesel can be blended with fuel oil #2 at various concentrations</w:t>
      </w:r>
      <w:r w:rsidR="00FF3FAB">
        <w:t>, and certain concentrations may not require equipment modifications.</w:t>
      </w:r>
    </w:p>
    <w:p w14:paraId="0291B22C" w14:textId="7A89CBBB" w:rsidR="003309E0" w:rsidRDefault="0040700C" w:rsidP="005742EA">
      <w:pPr>
        <w:ind w:left="720"/>
      </w:pPr>
      <w:r>
        <w:t xml:space="preserve">This </w:t>
      </w:r>
      <w:r w:rsidR="002578BD">
        <w:t>measure characterizes four distinct</w:t>
      </w:r>
      <w:r w:rsidR="005742EA">
        <w:t xml:space="preserve"> pathways</w:t>
      </w:r>
      <w:r w:rsidR="003309E0">
        <w:t xml:space="preserve"> </w:t>
      </w:r>
      <w:proofErr w:type="gramStart"/>
      <w:r w:rsidR="003309E0">
        <w:t>for the production of</w:t>
      </w:r>
      <w:proofErr w:type="gramEnd"/>
      <w:r w:rsidR="003309E0">
        <w:t xml:space="preserve"> biodiesel</w:t>
      </w:r>
      <w:r w:rsidR="002578BD">
        <w:t>:</w:t>
      </w:r>
      <w:r w:rsidR="005742EA">
        <w:t xml:space="preserve"> </w:t>
      </w:r>
      <w:r w:rsidR="002578BD">
        <w:t>three pathways for biodiesel from purpose-grown crops (soybeans, canola, and corn) as well as one biodiesel pathway from a waste product (u</w:t>
      </w:r>
      <w:r w:rsidR="005742EA">
        <w:t>sed cooking oil</w:t>
      </w:r>
      <w:r w:rsidR="002578BD">
        <w:t>).</w:t>
      </w:r>
      <w:r w:rsidR="005742EA">
        <w:t xml:space="preserve"> </w:t>
      </w:r>
    </w:p>
    <w:p w14:paraId="05395976" w14:textId="5F157458" w:rsidR="005742EA" w:rsidRDefault="005742EA" w:rsidP="005742EA">
      <w:pPr>
        <w:ind w:left="720"/>
      </w:pPr>
      <w:r>
        <w:t xml:space="preserve">Greenhouse gas reductions </w:t>
      </w:r>
      <w:r w:rsidR="002578BD">
        <w:t xml:space="preserve">associated with this measure are derived from </w:t>
      </w:r>
      <w:r>
        <w:t>the difference in</w:t>
      </w:r>
      <w:r w:rsidR="00E24A4F">
        <w:t xml:space="preserve"> carbon intensity values</w:t>
      </w:r>
      <w:r>
        <w:t xml:space="preserve"> (gCO</w:t>
      </w:r>
      <w:r w:rsidRPr="00610E15">
        <w:rPr>
          <w:vertAlign w:val="subscript"/>
        </w:rPr>
        <w:t>2</w:t>
      </w:r>
      <w:r>
        <w:t>e/MJ) between</w:t>
      </w:r>
      <w:r w:rsidR="00A738BC">
        <w:t xml:space="preserve"> fuel oil #2 and biodiesel</w:t>
      </w:r>
      <w:r>
        <w:t>.</w:t>
      </w:r>
    </w:p>
    <w:p w14:paraId="0429C49C" w14:textId="77777777" w:rsidR="005742EA" w:rsidRDefault="005742EA" w:rsidP="005742EA">
      <w:pPr>
        <w:ind w:firstLine="720"/>
        <w:rPr>
          <w:b/>
          <w:bCs/>
        </w:rPr>
      </w:pPr>
      <w:r>
        <w:rPr>
          <w:b/>
          <w:bCs/>
        </w:rPr>
        <w:t>Baseline Conditions</w:t>
      </w:r>
    </w:p>
    <w:p w14:paraId="516845C0" w14:textId="24DBDA93" w:rsidR="005742EA" w:rsidRDefault="005742EA" w:rsidP="005742EA">
      <w:pPr>
        <w:ind w:left="720"/>
      </w:pPr>
      <w:r>
        <w:t xml:space="preserve">The baseline condition is </w:t>
      </w:r>
      <w:r w:rsidR="00A738BC">
        <w:t xml:space="preserve">the </w:t>
      </w:r>
      <w:r>
        <w:t xml:space="preserve">use of </w:t>
      </w:r>
      <w:r w:rsidR="00A738BC">
        <w:t xml:space="preserve">fuel </w:t>
      </w:r>
      <w:r>
        <w:t>oil</w:t>
      </w:r>
      <w:r w:rsidR="00A738BC">
        <w:t xml:space="preserve"> #2</w:t>
      </w:r>
      <w:r>
        <w:t xml:space="preserve"> in </w:t>
      </w:r>
      <w:r w:rsidR="00A738BC">
        <w:t>the thermal sector</w:t>
      </w:r>
      <w:r>
        <w:t xml:space="preserve"> that is distributed to end users through a truck delivery service.</w:t>
      </w:r>
    </w:p>
    <w:p w14:paraId="2848AF9E" w14:textId="77777777" w:rsidR="005742EA" w:rsidRDefault="005742EA" w:rsidP="005742EA">
      <w:pPr>
        <w:ind w:firstLine="720"/>
        <w:rPr>
          <w:b/>
          <w:bCs/>
        </w:rPr>
      </w:pPr>
      <w:r>
        <w:rPr>
          <w:b/>
          <w:bCs/>
        </w:rPr>
        <w:t>Proposed Conditions</w:t>
      </w:r>
    </w:p>
    <w:p w14:paraId="07860436" w14:textId="4E671989" w:rsidR="005742EA" w:rsidRDefault="005742EA" w:rsidP="005742EA">
      <w:pPr>
        <w:ind w:left="720"/>
      </w:pPr>
      <w:bookmarkStart w:id="22" w:name="_Hlk175926696"/>
      <w:r>
        <w:t xml:space="preserve">The proposed </w:t>
      </w:r>
      <w:r w:rsidR="00A738BC">
        <w:t>condition is the use of biodiesel</w:t>
      </w:r>
      <w:r>
        <w:t xml:space="preserve"> </w:t>
      </w:r>
      <w:r w:rsidR="00A738BC">
        <w:t>in the thermal sector that is distributed to end users through a truck delivery service.</w:t>
      </w:r>
      <w:r>
        <w:t xml:space="preserve"> </w:t>
      </w:r>
      <w:r w:rsidR="00A738BC">
        <w:t xml:space="preserve">Biodiesel </w:t>
      </w:r>
      <w:r>
        <w:t>production pathways</w:t>
      </w:r>
      <w:r w:rsidR="00A738BC">
        <w:t xml:space="preserve"> (and ther</w:t>
      </w:r>
      <w:r w:rsidR="00E24A4F">
        <w:t>ef</w:t>
      </w:r>
      <w:r w:rsidR="00A738BC">
        <w:t>ore carbon intensity values)</w:t>
      </w:r>
      <w:r>
        <w:t xml:space="preserve"> include farming activities, crop applications (e.g., pesticides, herbicides, and fertilizers), feedstock collection, fuel production, and transport of fuels to distributors. The production pathways exclude impacts relating to land use changes and the biogenic carbon cycle. </w:t>
      </w:r>
      <w:bookmarkStart w:id="23" w:name="_Hlk175650157"/>
      <w:r>
        <w:t xml:space="preserve">Emissions resulting from the distribution </w:t>
      </w:r>
      <w:bookmarkEnd w:id="23"/>
      <w:r>
        <w:t>of fuels from the distributor to the end user are presumed equal between the proposed and baseline conditions since truck delivery is assumed in both.</w:t>
      </w:r>
      <w:bookmarkEnd w:id="22"/>
    </w:p>
    <w:p w14:paraId="50CD7691" w14:textId="2509A140" w:rsidR="00A738BC" w:rsidRDefault="005742EA" w:rsidP="00A738BC">
      <w:pPr>
        <w:pStyle w:val="Heading4"/>
        <w:tabs>
          <w:tab w:val="left" w:pos="3360"/>
        </w:tabs>
      </w:pPr>
      <w:r>
        <w:lastRenderedPageBreak/>
        <w:t xml:space="preserve">Eligibility </w:t>
      </w:r>
      <w:r w:rsidR="00416C7A">
        <w:t>Criteria</w:t>
      </w:r>
    </w:p>
    <w:p w14:paraId="3B5C4DDB" w14:textId="68A252AE" w:rsidR="005742EA" w:rsidRDefault="00A738BC" w:rsidP="00610E15">
      <w:r>
        <w:t>This measure characterizes biodiesel used in the thermal sector under a certain set of conditions. Specifically:</w:t>
      </w:r>
      <w:r>
        <w:tab/>
      </w:r>
    </w:p>
    <w:p w14:paraId="64DB39A4" w14:textId="539B7B1F" w:rsidR="00A738BC" w:rsidRDefault="00A738BC" w:rsidP="00A738BC">
      <w:pPr>
        <w:pStyle w:val="ListBullet"/>
      </w:pPr>
      <w:r>
        <w:t>Biodiesel carbon intensity values</w:t>
      </w:r>
      <w:r w:rsidR="005742EA">
        <w:t xml:space="preserve"> are characterized for production pathways that reside within the continental United States. Finished </w:t>
      </w:r>
      <w:r>
        <w:t>biodiesel</w:t>
      </w:r>
      <w:r w:rsidR="005742EA">
        <w:t xml:space="preserve"> or feedstocks used in production of </w:t>
      </w:r>
      <w:r>
        <w:t>biodiesel</w:t>
      </w:r>
      <w:r w:rsidR="005742EA">
        <w:t xml:space="preserve"> that are imported from outside the </w:t>
      </w:r>
      <w:r>
        <w:t xml:space="preserve">continental United States </w:t>
      </w:r>
      <w:r w:rsidR="005742EA">
        <w:t xml:space="preserve">are not eligible for this measure. </w:t>
      </w:r>
    </w:p>
    <w:p w14:paraId="5F2393E9" w14:textId="0ECF3BE4" w:rsidR="005742EA" w:rsidRDefault="00A738BC" w:rsidP="00A738BC">
      <w:pPr>
        <w:pStyle w:val="ListBullet"/>
      </w:pPr>
      <w:r>
        <w:t xml:space="preserve">Biodiesel </w:t>
      </w:r>
      <w:r w:rsidR="005742EA">
        <w:t>feedstocks not listed as one of the characterized pathways are not eligible for this measure.</w:t>
      </w:r>
    </w:p>
    <w:p w14:paraId="7BD565C6" w14:textId="2DAF2314" w:rsidR="00A738BC" w:rsidRDefault="00A738BC" w:rsidP="00A738BC">
      <w:pPr>
        <w:pStyle w:val="ListBullet"/>
      </w:pPr>
      <w:r>
        <w:t>For biodiesel to be eligible for this measure, it must be distributed to an end user through a truck delivery service. Biodiesel distributed through other channels is not eligible for this measure.</w:t>
      </w:r>
    </w:p>
    <w:p w14:paraId="2DD7BE5D" w14:textId="1ADCD7F8" w:rsidR="00A738BC" w:rsidRDefault="00A738BC" w:rsidP="00E166BD">
      <w:r>
        <w:t>Certain uses of biodiesel are not eligible for clean heat credits:</w:t>
      </w:r>
    </w:p>
    <w:p w14:paraId="72EE4B2D" w14:textId="4696F2F6" w:rsidR="005742EA" w:rsidRDefault="00A738BC" w:rsidP="00A738BC">
      <w:pPr>
        <w:pStyle w:val="ListBullet"/>
      </w:pPr>
      <w:r>
        <w:t xml:space="preserve">Biodiesel used for electrical generation </w:t>
      </w:r>
      <w:r w:rsidR="005742EA">
        <w:t xml:space="preserve">is not eligible. </w:t>
      </w:r>
    </w:p>
    <w:p w14:paraId="3AC6EF04" w14:textId="66DDAF6A" w:rsidR="005742EA" w:rsidRDefault="00A738BC" w:rsidP="00E166BD">
      <w:pPr>
        <w:pStyle w:val="ListBullet"/>
      </w:pPr>
      <w:r>
        <w:t>Biodiesel</w:t>
      </w:r>
      <w:r w:rsidR="005742EA">
        <w:t xml:space="preserve"> distributed to an industrial facility should be verified as being used in process or space heating. </w:t>
      </w:r>
      <w:r>
        <w:t>Biodiesel</w:t>
      </w:r>
      <w:r w:rsidR="005742EA">
        <w:t xml:space="preserve"> used as a material feedstock in production of a good or otherwise not used as a heating fuel is ineligible for this measure.</w:t>
      </w:r>
    </w:p>
    <w:p w14:paraId="7CCC350E" w14:textId="4EED95E1" w:rsidR="005742EA" w:rsidRDefault="005742EA" w:rsidP="005742EA">
      <w:pPr>
        <w:pStyle w:val="Heading4"/>
      </w:pPr>
      <w:r w:rsidRPr="00C36178">
        <w:t>Decarbonization</w:t>
      </w:r>
      <w:r>
        <w:t xml:space="preserve"> </w:t>
      </w:r>
      <w:r w:rsidR="00416C7A">
        <w:t>Summary</w:t>
      </w:r>
    </w:p>
    <w:p w14:paraId="411C5AAA" w14:textId="15BC9F0E" w:rsidR="005742EA" w:rsidRDefault="005742EA" w:rsidP="00E166BD">
      <w:r>
        <w:fldChar w:fldCharType="begin"/>
      </w:r>
      <w:r>
        <w:instrText xml:space="preserve"> REF _Ref175150155 \h </w:instrText>
      </w:r>
      <w:r>
        <w:fldChar w:fldCharType="separate"/>
      </w:r>
      <w:r w:rsidR="008F724F">
        <w:t xml:space="preserve">Table </w:t>
      </w:r>
      <w:r w:rsidR="008F724F">
        <w:rPr>
          <w:noProof/>
        </w:rPr>
        <w:t>3</w:t>
      </w:r>
      <w:r>
        <w:fldChar w:fldCharType="end"/>
      </w:r>
      <w:r>
        <w:t xml:space="preserve"> </w:t>
      </w:r>
      <w:bookmarkStart w:id="24" w:name="_Hlk175150259"/>
      <w:r w:rsidRPr="00AF1550">
        <w:t xml:space="preserve">provides </w:t>
      </w:r>
      <w:r>
        <w:t xml:space="preserve">the </w:t>
      </w:r>
      <w:r w:rsidRPr="00AF1550">
        <w:t xml:space="preserve">estimated </w:t>
      </w:r>
      <w:r>
        <w:t xml:space="preserve">2025 decarbonization range for replacement of </w:t>
      </w:r>
      <w:r w:rsidR="0051347D">
        <w:t>fuel</w:t>
      </w:r>
      <w:r>
        <w:t xml:space="preserve"> oil</w:t>
      </w:r>
      <w:r w:rsidR="0051347D">
        <w:t xml:space="preserve"> #2</w:t>
      </w:r>
      <w:r w:rsidRPr="0084682F">
        <w:t xml:space="preserve"> with </w:t>
      </w:r>
      <w:r w:rsidR="0051347D">
        <w:t>biodiesel</w:t>
      </w:r>
      <w:r w:rsidR="0051347D" w:rsidRPr="0084682F">
        <w:t xml:space="preserve"> </w:t>
      </w:r>
      <w:r w:rsidRPr="0084682F">
        <w:t xml:space="preserve">from each of the </w:t>
      </w:r>
      <w:r>
        <w:t>four</w:t>
      </w:r>
      <w:r w:rsidRPr="0084682F">
        <w:t xml:space="preserve"> </w:t>
      </w:r>
      <w:r w:rsidR="0051347D">
        <w:t xml:space="preserve">characterized </w:t>
      </w:r>
      <w:r w:rsidRPr="0084682F">
        <w:t>feedstocks</w:t>
      </w:r>
      <w:r w:rsidR="0051347D">
        <w:t xml:space="preserve"> under varying proportionality</w:t>
      </w:r>
      <w:r w:rsidRPr="0084682F">
        <w:t>. These estimates are not inclusive of all eligible conditions; o</w:t>
      </w:r>
      <w:r>
        <w:t>ther conditions may be calculated from the algorithms herein.</w:t>
      </w:r>
      <w:bookmarkEnd w:id="24"/>
    </w:p>
    <w:p w14:paraId="25528DB5" w14:textId="3A8F93CA" w:rsidR="0051347D" w:rsidRDefault="005742EA" w:rsidP="00813BC9">
      <w:pPr>
        <w:pStyle w:val="Caption"/>
      </w:pPr>
      <w:bookmarkStart w:id="25" w:name="_Ref175150155"/>
      <w:r>
        <w:t xml:space="preserve">Table </w:t>
      </w:r>
      <w:r>
        <w:fldChar w:fldCharType="begin"/>
      </w:r>
      <w:r>
        <w:instrText xml:space="preserve"> SEQ Table \* ARABIC </w:instrText>
      </w:r>
      <w:r>
        <w:fldChar w:fldCharType="separate"/>
      </w:r>
      <w:r w:rsidR="008F724F">
        <w:rPr>
          <w:noProof/>
        </w:rPr>
        <w:t>3</w:t>
      </w:r>
      <w:r>
        <w:fldChar w:fldCharType="end"/>
      </w:r>
      <w:bookmarkEnd w:id="25"/>
      <w:r>
        <w:t>.</w:t>
      </w:r>
      <w:r w:rsidRPr="00897C4B">
        <w:t xml:space="preserve"> </w:t>
      </w:r>
      <w:r>
        <w:t xml:space="preserve">Biodiesel </w:t>
      </w:r>
      <w:r w:rsidRPr="00897C4B">
        <w:t>CO</w:t>
      </w:r>
      <w:r w:rsidRPr="003039BF">
        <w:rPr>
          <w:vertAlign w:val="subscript"/>
        </w:rPr>
        <w:t>2</w:t>
      </w:r>
      <w:r w:rsidRPr="00897C4B">
        <w:t>e Reductions</w:t>
      </w:r>
    </w:p>
    <w:tbl>
      <w:tblPr>
        <w:tblStyle w:val="ODCBasic-1"/>
        <w:tblW w:w="0" w:type="auto"/>
        <w:tblCellMar>
          <w:top w:w="0" w:type="dxa"/>
        </w:tblCellMar>
        <w:tblLook w:val="04A0" w:firstRow="1" w:lastRow="0" w:firstColumn="1" w:lastColumn="0" w:noHBand="0" w:noVBand="1"/>
      </w:tblPr>
      <w:tblGrid>
        <w:gridCol w:w="2836"/>
        <w:gridCol w:w="1569"/>
        <w:gridCol w:w="1719"/>
        <w:gridCol w:w="1644"/>
        <w:gridCol w:w="1644"/>
      </w:tblGrid>
      <w:tr w:rsidR="0051347D" w14:paraId="1B4AE029" w14:textId="77777777" w:rsidTr="0051347D">
        <w:trPr>
          <w:cnfStyle w:val="100000000000" w:firstRow="1" w:lastRow="0" w:firstColumn="0" w:lastColumn="0" w:oddVBand="0" w:evenVBand="0" w:oddHBand="0" w:evenHBand="0" w:firstRowFirstColumn="0" w:firstRowLastColumn="0" w:lastRowFirstColumn="0" w:lastRowLastColumn="0"/>
          <w:trHeight w:val="386"/>
          <w:tblHeader/>
        </w:trPr>
        <w:tc>
          <w:tcPr>
            <w:cnfStyle w:val="001000000000" w:firstRow="0" w:lastRow="0" w:firstColumn="1" w:lastColumn="0" w:oddVBand="0" w:evenVBand="0" w:oddHBand="0" w:evenHBand="0" w:firstRowFirstColumn="0" w:firstRowLastColumn="0" w:lastRowFirstColumn="0" w:lastRowLastColumn="0"/>
            <w:tcW w:w="2836" w:type="dxa"/>
            <w:vMerge w:val="restart"/>
            <w:tcBorders>
              <w:bottom w:val="single" w:sz="4" w:space="0" w:color="4A4D56" w:themeColor="text1"/>
              <w:right w:val="single" w:sz="4" w:space="0" w:color="4A4D56" w:themeColor="text1"/>
            </w:tcBorders>
          </w:tcPr>
          <w:p w14:paraId="6B131F69" w14:textId="24399660" w:rsidR="0051347D" w:rsidRPr="00625570" w:rsidRDefault="0051347D" w:rsidP="0051347D">
            <w:pPr>
              <w:pStyle w:val="TableHeadingLeft"/>
            </w:pPr>
            <w:r>
              <w:t>Biodiesel Blend</w:t>
            </w:r>
          </w:p>
        </w:tc>
        <w:tc>
          <w:tcPr>
            <w:tcW w:w="6576" w:type="dxa"/>
            <w:gridSpan w:val="4"/>
            <w:tcBorders>
              <w:left w:val="single" w:sz="4" w:space="0" w:color="4A4D56" w:themeColor="text1"/>
              <w:bottom w:val="single" w:sz="4" w:space="0" w:color="4A4D56" w:themeColor="text1"/>
            </w:tcBorders>
          </w:tcPr>
          <w:p w14:paraId="1F1A55C8" w14:textId="69F9DCEC" w:rsidR="0051347D" w:rsidRPr="00625570" w:rsidRDefault="0051347D" w:rsidP="0051347D">
            <w:pPr>
              <w:pStyle w:val="TableHeadingCentered"/>
              <w:cnfStyle w:val="100000000000" w:firstRow="1" w:lastRow="0" w:firstColumn="0" w:lastColumn="0" w:oddVBand="0" w:evenVBand="0" w:oddHBand="0" w:evenHBand="0" w:firstRowFirstColumn="0" w:firstRowLastColumn="0" w:lastRowFirstColumn="0" w:lastRowLastColumn="0"/>
              <w:rPr>
                <w:iCs w:val="0"/>
              </w:rPr>
            </w:pPr>
            <w:r>
              <w:t>CO</w:t>
            </w:r>
            <w:r w:rsidRPr="001F0C67">
              <w:rPr>
                <w:vertAlign w:val="subscript"/>
              </w:rPr>
              <w:t>2</w:t>
            </w:r>
            <w:r>
              <w:t xml:space="preserve">e Reduction </w:t>
            </w:r>
            <w:r w:rsidR="00DD134A">
              <w:t>per Gallon</w:t>
            </w:r>
            <w:r w:rsidR="00E24A4F">
              <w:t xml:space="preserve"> </w:t>
            </w:r>
            <w:r w:rsidRPr="001F0C67">
              <w:t>[gCO</w:t>
            </w:r>
            <w:r w:rsidRPr="00D678B3">
              <w:rPr>
                <w:vertAlign w:val="subscript"/>
              </w:rPr>
              <w:t>2</w:t>
            </w:r>
            <w:r w:rsidRPr="001F0C67">
              <w:t>e/</w:t>
            </w:r>
            <w:r>
              <w:t>gallon</w:t>
            </w:r>
            <w:r w:rsidRPr="001F0C67">
              <w:t>]</w:t>
            </w:r>
            <w:r>
              <w:t xml:space="preserve"> in 2025 by </w:t>
            </w:r>
            <w:r w:rsidR="00DD134A">
              <w:t xml:space="preserve">Fuel </w:t>
            </w:r>
            <w:r>
              <w:t>Pathway</w:t>
            </w:r>
          </w:p>
        </w:tc>
      </w:tr>
      <w:tr w:rsidR="0051347D" w14:paraId="518EA79A" w14:textId="77777777" w:rsidTr="007C1EC0">
        <w:trPr>
          <w:cnfStyle w:val="100000000000" w:firstRow="1" w:lastRow="0" w:firstColumn="0" w:lastColumn="0" w:oddVBand="0" w:evenVBand="0" w:oddHBand="0" w:evenHBand="0" w:firstRowFirstColumn="0" w:firstRowLastColumn="0" w:lastRowFirstColumn="0" w:lastRowLastColumn="0"/>
          <w:cantSplit/>
          <w:trHeight w:val="340"/>
          <w:tblHeader/>
        </w:trPr>
        <w:tc>
          <w:tcPr>
            <w:cnfStyle w:val="001000000000" w:firstRow="0" w:lastRow="0" w:firstColumn="1" w:lastColumn="0" w:oddVBand="0" w:evenVBand="0" w:oddHBand="0" w:evenHBand="0" w:firstRowFirstColumn="0" w:firstRowLastColumn="0" w:lastRowFirstColumn="0" w:lastRowLastColumn="0"/>
            <w:tcW w:w="2836" w:type="dxa"/>
            <w:vMerge/>
            <w:tcBorders>
              <w:top w:val="single" w:sz="4" w:space="0" w:color="4A4D56" w:themeColor="text1"/>
              <w:right w:val="single" w:sz="4" w:space="0" w:color="4A4D56" w:themeColor="text1"/>
            </w:tcBorders>
          </w:tcPr>
          <w:p w14:paraId="22863F44" w14:textId="77777777" w:rsidR="0051347D" w:rsidRPr="00625570" w:rsidRDefault="0051347D" w:rsidP="007C1EC0">
            <w:pPr>
              <w:pStyle w:val="ODTable"/>
              <w:suppressAutoHyphens/>
              <w:ind w:left="72"/>
              <w:rPr>
                <w:sz w:val="18"/>
                <w:szCs w:val="18"/>
              </w:rPr>
            </w:pPr>
          </w:p>
        </w:tc>
        <w:tc>
          <w:tcPr>
            <w:tcW w:w="1569" w:type="dxa"/>
            <w:tcBorders>
              <w:top w:val="single" w:sz="4" w:space="0" w:color="4A4D56" w:themeColor="text1"/>
              <w:left w:val="single" w:sz="4" w:space="0" w:color="4A4D56" w:themeColor="text1"/>
              <w:right w:val="single" w:sz="4" w:space="0" w:color="4A4D56" w:themeColor="text1"/>
            </w:tcBorders>
          </w:tcPr>
          <w:p w14:paraId="1335DA4A" w14:textId="414C0653" w:rsidR="0051347D" w:rsidRPr="00625570" w:rsidRDefault="0051347D" w:rsidP="007C1EC0">
            <w:pPr>
              <w:pStyle w:val="TableHeadingCentered"/>
              <w:cnfStyle w:val="100000000000" w:firstRow="1" w:lastRow="0" w:firstColumn="0" w:lastColumn="0" w:oddVBand="0" w:evenVBand="0" w:oddHBand="0" w:evenHBand="0" w:firstRowFirstColumn="0" w:firstRowLastColumn="0" w:lastRowFirstColumn="0" w:lastRowLastColumn="0"/>
              <w:rPr>
                <w:rFonts w:cs="Calibri"/>
              </w:rPr>
            </w:pPr>
            <w:r>
              <w:t>Soybeans</w:t>
            </w:r>
          </w:p>
        </w:tc>
        <w:tc>
          <w:tcPr>
            <w:tcW w:w="1719" w:type="dxa"/>
            <w:tcBorders>
              <w:top w:val="single" w:sz="4" w:space="0" w:color="4A4D56" w:themeColor="text1"/>
              <w:left w:val="single" w:sz="4" w:space="0" w:color="4A4D56" w:themeColor="text1"/>
              <w:right w:val="single" w:sz="4" w:space="0" w:color="4A4D56" w:themeColor="text1"/>
            </w:tcBorders>
          </w:tcPr>
          <w:p w14:paraId="14040068" w14:textId="722CA881" w:rsidR="0051347D" w:rsidRPr="00625570" w:rsidRDefault="0051347D" w:rsidP="007C1EC0">
            <w:pPr>
              <w:pStyle w:val="TableHeadingCentered"/>
              <w:cnfStyle w:val="100000000000" w:firstRow="1" w:lastRow="0" w:firstColumn="0" w:lastColumn="0" w:oddVBand="0" w:evenVBand="0" w:oddHBand="0" w:evenHBand="0" w:firstRowFirstColumn="0" w:firstRowLastColumn="0" w:lastRowFirstColumn="0" w:lastRowLastColumn="0"/>
            </w:pPr>
            <w:r>
              <w:t>Canola</w:t>
            </w:r>
          </w:p>
        </w:tc>
        <w:tc>
          <w:tcPr>
            <w:tcW w:w="1644" w:type="dxa"/>
            <w:tcBorders>
              <w:top w:val="single" w:sz="4" w:space="0" w:color="4A4D56" w:themeColor="text1"/>
              <w:left w:val="single" w:sz="4" w:space="0" w:color="4A4D56" w:themeColor="text1"/>
              <w:right w:val="single" w:sz="4" w:space="0" w:color="4A4D56" w:themeColor="text1"/>
            </w:tcBorders>
          </w:tcPr>
          <w:p w14:paraId="7890601B" w14:textId="45D085FF" w:rsidR="0051347D" w:rsidRPr="00625570" w:rsidRDefault="0051347D" w:rsidP="007C1EC0">
            <w:pPr>
              <w:pStyle w:val="TableHeadingCentered"/>
              <w:cnfStyle w:val="100000000000" w:firstRow="1" w:lastRow="0" w:firstColumn="0" w:lastColumn="0" w:oddVBand="0" w:evenVBand="0" w:oddHBand="0" w:evenHBand="0" w:firstRowFirstColumn="0" w:firstRowLastColumn="0" w:lastRowFirstColumn="0" w:lastRowLastColumn="0"/>
            </w:pPr>
            <w:r>
              <w:t>Corn</w:t>
            </w:r>
          </w:p>
        </w:tc>
        <w:tc>
          <w:tcPr>
            <w:tcW w:w="1644" w:type="dxa"/>
            <w:tcBorders>
              <w:top w:val="single" w:sz="4" w:space="0" w:color="4A4D56" w:themeColor="text1"/>
              <w:left w:val="single" w:sz="4" w:space="0" w:color="4A4D56" w:themeColor="text1"/>
              <w:right w:val="single" w:sz="4" w:space="0" w:color="4A4D56" w:themeColor="text1"/>
            </w:tcBorders>
          </w:tcPr>
          <w:p w14:paraId="55C3F334" w14:textId="1398E8B2" w:rsidR="0051347D" w:rsidRPr="00625570" w:rsidRDefault="0051347D" w:rsidP="007C1EC0">
            <w:pPr>
              <w:pStyle w:val="TableHeadingCentered"/>
              <w:cnfStyle w:val="100000000000" w:firstRow="1" w:lastRow="0" w:firstColumn="0" w:lastColumn="0" w:oddVBand="0" w:evenVBand="0" w:oddHBand="0" w:evenHBand="0" w:firstRowFirstColumn="0" w:firstRowLastColumn="0" w:lastRowFirstColumn="0" w:lastRowLastColumn="0"/>
            </w:pPr>
            <w:r>
              <w:t>Used Cooking Oil</w:t>
            </w:r>
          </w:p>
        </w:tc>
      </w:tr>
      <w:tr w:rsidR="003E599A" w14:paraId="1BA1C183" w14:textId="77777777" w:rsidTr="003E599A">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68C0AD03" w14:textId="51F39457" w:rsidR="003E599A" w:rsidRPr="001C50B5" w:rsidRDefault="003E599A" w:rsidP="003E599A">
            <w:pPr>
              <w:pStyle w:val="TableLeftText"/>
            </w:pPr>
            <w:r>
              <w:t>20% Biodiesel</w:t>
            </w:r>
            <w:r w:rsidR="00FF3FAB">
              <w:t xml:space="preserve"> (B20)</w:t>
            </w:r>
          </w:p>
        </w:tc>
        <w:tc>
          <w:tcPr>
            <w:tcW w:w="1569" w:type="dxa"/>
          </w:tcPr>
          <w:p w14:paraId="42BA45C6" w14:textId="2777F498" w:rsidR="003E599A" w:rsidRPr="00FA3A09" w:rsidRDefault="003E599A" w:rsidP="003E599A">
            <w:pPr>
              <w:pStyle w:val="TableCenterText"/>
              <w:jc w:val="right"/>
              <w:cnfStyle w:val="000000100000" w:firstRow="0" w:lastRow="0" w:firstColumn="0" w:lastColumn="0" w:oddVBand="0" w:evenVBand="0" w:oddHBand="1" w:evenHBand="0" w:firstRowFirstColumn="0" w:firstRowLastColumn="0" w:lastRowFirstColumn="0" w:lastRowLastColumn="0"/>
            </w:pPr>
            <w:r w:rsidRPr="003060F2">
              <w:t>1,537</w:t>
            </w:r>
          </w:p>
        </w:tc>
        <w:tc>
          <w:tcPr>
            <w:tcW w:w="1719" w:type="dxa"/>
          </w:tcPr>
          <w:p w14:paraId="7F13962A" w14:textId="3FEF44E9" w:rsidR="003E599A" w:rsidRPr="00FA3A09" w:rsidRDefault="003E599A" w:rsidP="003E599A">
            <w:pPr>
              <w:pStyle w:val="TableCenterText"/>
              <w:jc w:val="right"/>
              <w:cnfStyle w:val="000000100000" w:firstRow="0" w:lastRow="0" w:firstColumn="0" w:lastColumn="0" w:oddVBand="0" w:evenVBand="0" w:oddHBand="1" w:evenHBand="0" w:firstRowFirstColumn="0" w:firstRowLastColumn="0" w:lastRowFirstColumn="0" w:lastRowLastColumn="0"/>
            </w:pPr>
            <w:r w:rsidRPr="003060F2">
              <w:t>1,550</w:t>
            </w:r>
          </w:p>
        </w:tc>
        <w:tc>
          <w:tcPr>
            <w:tcW w:w="1644" w:type="dxa"/>
          </w:tcPr>
          <w:p w14:paraId="2D74D646" w14:textId="59336261" w:rsidR="003E599A" w:rsidRPr="00FA3A09" w:rsidRDefault="003E599A" w:rsidP="003E599A">
            <w:pPr>
              <w:pStyle w:val="TableCenterText"/>
              <w:jc w:val="right"/>
              <w:cnfStyle w:val="000000100000" w:firstRow="0" w:lastRow="0" w:firstColumn="0" w:lastColumn="0" w:oddVBand="0" w:evenVBand="0" w:oddHBand="1" w:evenHBand="0" w:firstRowFirstColumn="0" w:firstRowLastColumn="0" w:lastRowFirstColumn="0" w:lastRowLastColumn="0"/>
            </w:pPr>
            <w:r w:rsidRPr="003060F2">
              <w:t>1,981</w:t>
            </w:r>
          </w:p>
        </w:tc>
        <w:tc>
          <w:tcPr>
            <w:tcW w:w="1644" w:type="dxa"/>
          </w:tcPr>
          <w:p w14:paraId="764D0F92" w14:textId="235204DF" w:rsidR="003E599A" w:rsidRPr="00FA3A09" w:rsidRDefault="003E599A" w:rsidP="003E599A">
            <w:pPr>
              <w:pStyle w:val="TableCenterText"/>
              <w:jc w:val="right"/>
              <w:cnfStyle w:val="000000100000" w:firstRow="0" w:lastRow="0" w:firstColumn="0" w:lastColumn="0" w:oddVBand="0" w:evenVBand="0" w:oddHBand="1" w:evenHBand="0" w:firstRowFirstColumn="0" w:firstRowLastColumn="0" w:lastRowFirstColumn="0" w:lastRowLastColumn="0"/>
            </w:pPr>
            <w:r w:rsidRPr="003060F2">
              <w:t>1,849</w:t>
            </w:r>
          </w:p>
        </w:tc>
      </w:tr>
      <w:tr w:rsidR="003E599A" w14:paraId="63B0214B" w14:textId="77777777" w:rsidTr="003E599A">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27897E48" w14:textId="517748D7" w:rsidR="003E599A" w:rsidRPr="001C50B5" w:rsidRDefault="003E599A" w:rsidP="003E599A">
            <w:pPr>
              <w:pStyle w:val="TableLeftText"/>
            </w:pPr>
            <w:r>
              <w:t>40% Biodiesel</w:t>
            </w:r>
            <w:r w:rsidR="00FF3FAB">
              <w:t xml:space="preserve"> (B40)</w:t>
            </w:r>
          </w:p>
        </w:tc>
        <w:tc>
          <w:tcPr>
            <w:tcW w:w="1569" w:type="dxa"/>
          </w:tcPr>
          <w:p w14:paraId="60BE52C4" w14:textId="1C91AC7D" w:rsidR="003E599A" w:rsidRPr="00FA3A09" w:rsidRDefault="003E599A" w:rsidP="003E599A">
            <w:pPr>
              <w:pStyle w:val="TableCenterText"/>
              <w:jc w:val="right"/>
              <w:cnfStyle w:val="000000010000" w:firstRow="0" w:lastRow="0" w:firstColumn="0" w:lastColumn="0" w:oddVBand="0" w:evenVBand="0" w:oddHBand="0" w:evenHBand="1" w:firstRowFirstColumn="0" w:firstRowLastColumn="0" w:lastRowFirstColumn="0" w:lastRowLastColumn="0"/>
            </w:pPr>
            <w:r w:rsidRPr="003060F2">
              <w:t>3,032</w:t>
            </w:r>
          </w:p>
        </w:tc>
        <w:tc>
          <w:tcPr>
            <w:tcW w:w="1719" w:type="dxa"/>
          </w:tcPr>
          <w:p w14:paraId="007A1567" w14:textId="1B930A35" w:rsidR="003E599A" w:rsidRPr="00FA3A09" w:rsidRDefault="003E599A" w:rsidP="003E599A">
            <w:pPr>
              <w:pStyle w:val="TableCenterText"/>
              <w:jc w:val="right"/>
              <w:cnfStyle w:val="000000010000" w:firstRow="0" w:lastRow="0" w:firstColumn="0" w:lastColumn="0" w:oddVBand="0" w:evenVBand="0" w:oddHBand="0" w:evenHBand="1" w:firstRowFirstColumn="0" w:firstRowLastColumn="0" w:lastRowFirstColumn="0" w:lastRowLastColumn="0"/>
            </w:pPr>
            <w:r w:rsidRPr="003060F2">
              <w:t>3,057</w:t>
            </w:r>
          </w:p>
        </w:tc>
        <w:tc>
          <w:tcPr>
            <w:tcW w:w="1644" w:type="dxa"/>
          </w:tcPr>
          <w:p w14:paraId="6693CEFB" w14:textId="72FB6213" w:rsidR="003E599A" w:rsidRPr="00FA3A09" w:rsidRDefault="003E599A" w:rsidP="003E599A">
            <w:pPr>
              <w:pStyle w:val="TableCenterText"/>
              <w:jc w:val="right"/>
              <w:cnfStyle w:val="000000010000" w:firstRow="0" w:lastRow="0" w:firstColumn="0" w:lastColumn="0" w:oddVBand="0" w:evenVBand="0" w:oddHBand="0" w:evenHBand="1" w:firstRowFirstColumn="0" w:firstRowLastColumn="0" w:lastRowFirstColumn="0" w:lastRowLastColumn="0"/>
            </w:pPr>
            <w:r w:rsidRPr="003060F2">
              <w:t>3,907</w:t>
            </w:r>
          </w:p>
        </w:tc>
        <w:tc>
          <w:tcPr>
            <w:tcW w:w="1644" w:type="dxa"/>
          </w:tcPr>
          <w:p w14:paraId="4F7866B9" w14:textId="30EE7667" w:rsidR="003E599A" w:rsidRPr="00FA3A09" w:rsidRDefault="003E599A" w:rsidP="003E599A">
            <w:pPr>
              <w:pStyle w:val="TableCenterText"/>
              <w:jc w:val="right"/>
              <w:cnfStyle w:val="000000010000" w:firstRow="0" w:lastRow="0" w:firstColumn="0" w:lastColumn="0" w:oddVBand="0" w:evenVBand="0" w:oddHBand="0" w:evenHBand="1" w:firstRowFirstColumn="0" w:firstRowLastColumn="0" w:lastRowFirstColumn="0" w:lastRowLastColumn="0"/>
              <w:rPr>
                <w:rFonts w:cs="Calibri"/>
              </w:rPr>
            </w:pPr>
            <w:r w:rsidRPr="003060F2">
              <w:t>3,646</w:t>
            </w:r>
          </w:p>
        </w:tc>
      </w:tr>
      <w:tr w:rsidR="003E599A" w14:paraId="784AF64F" w14:textId="77777777" w:rsidTr="003E599A">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76FA2B89" w14:textId="119E2131" w:rsidR="003E599A" w:rsidRPr="001C50B5" w:rsidRDefault="003E599A" w:rsidP="003E599A">
            <w:pPr>
              <w:pStyle w:val="TableLeftText"/>
            </w:pPr>
            <w:r>
              <w:t>60% Biodiesel</w:t>
            </w:r>
            <w:r w:rsidR="00FF3FAB">
              <w:t xml:space="preserve"> (B60)</w:t>
            </w:r>
          </w:p>
        </w:tc>
        <w:tc>
          <w:tcPr>
            <w:tcW w:w="1569" w:type="dxa"/>
          </w:tcPr>
          <w:p w14:paraId="7665192F" w14:textId="47411EDD" w:rsidR="003E599A" w:rsidRPr="00FA3A09" w:rsidRDefault="003E599A" w:rsidP="003E599A">
            <w:pPr>
              <w:pStyle w:val="TableCenterText"/>
              <w:jc w:val="right"/>
              <w:cnfStyle w:val="000000100000" w:firstRow="0" w:lastRow="0" w:firstColumn="0" w:lastColumn="0" w:oddVBand="0" w:evenVBand="0" w:oddHBand="1" w:evenHBand="0" w:firstRowFirstColumn="0" w:firstRowLastColumn="0" w:lastRowFirstColumn="0" w:lastRowLastColumn="0"/>
            </w:pPr>
            <w:r w:rsidRPr="003060F2">
              <w:t>4,484</w:t>
            </w:r>
          </w:p>
        </w:tc>
        <w:tc>
          <w:tcPr>
            <w:tcW w:w="1719" w:type="dxa"/>
          </w:tcPr>
          <w:p w14:paraId="1F840801" w14:textId="2849EF22" w:rsidR="003E599A" w:rsidRPr="00FA3A09" w:rsidRDefault="003E599A" w:rsidP="003E599A">
            <w:pPr>
              <w:pStyle w:val="TableCenterText"/>
              <w:jc w:val="right"/>
              <w:cnfStyle w:val="000000100000" w:firstRow="0" w:lastRow="0" w:firstColumn="0" w:lastColumn="0" w:oddVBand="0" w:evenVBand="0" w:oddHBand="1" w:evenHBand="0" w:firstRowFirstColumn="0" w:firstRowLastColumn="0" w:lastRowFirstColumn="0" w:lastRowLastColumn="0"/>
            </w:pPr>
            <w:r w:rsidRPr="003060F2">
              <w:t>4,521</w:t>
            </w:r>
          </w:p>
        </w:tc>
        <w:tc>
          <w:tcPr>
            <w:tcW w:w="1644" w:type="dxa"/>
          </w:tcPr>
          <w:p w14:paraId="2733BF71" w14:textId="3767C5F1" w:rsidR="003E599A" w:rsidRPr="00FA3A09" w:rsidRDefault="003E599A" w:rsidP="003E599A">
            <w:pPr>
              <w:pStyle w:val="TableCenterText"/>
              <w:jc w:val="right"/>
              <w:cnfStyle w:val="000000100000" w:firstRow="0" w:lastRow="0" w:firstColumn="0" w:lastColumn="0" w:oddVBand="0" w:evenVBand="0" w:oddHBand="1" w:evenHBand="0" w:firstRowFirstColumn="0" w:firstRowLastColumn="0" w:lastRowFirstColumn="0" w:lastRowLastColumn="0"/>
            </w:pPr>
            <w:r w:rsidRPr="003060F2">
              <w:t>5,778</w:t>
            </w:r>
          </w:p>
        </w:tc>
        <w:tc>
          <w:tcPr>
            <w:tcW w:w="1644" w:type="dxa"/>
          </w:tcPr>
          <w:p w14:paraId="07442AEB" w14:textId="2321792E" w:rsidR="003E599A" w:rsidRPr="00FA3A09" w:rsidRDefault="003E599A" w:rsidP="003E599A">
            <w:pPr>
              <w:pStyle w:val="TableCenterText"/>
              <w:jc w:val="right"/>
              <w:cnfStyle w:val="000000100000" w:firstRow="0" w:lastRow="0" w:firstColumn="0" w:lastColumn="0" w:oddVBand="0" w:evenVBand="0" w:oddHBand="1" w:evenHBand="0" w:firstRowFirstColumn="0" w:firstRowLastColumn="0" w:lastRowFirstColumn="0" w:lastRowLastColumn="0"/>
            </w:pPr>
            <w:r w:rsidRPr="003060F2">
              <w:t>5,391</w:t>
            </w:r>
          </w:p>
        </w:tc>
      </w:tr>
      <w:tr w:rsidR="003E599A" w14:paraId="4672EB0B" w14:textId="77777777" w:rsidTr="003E599A">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6ED8246A" w14:textId="42E4107F" w:rsidR="003E599A" w:rsidRPr="001C50B5" w:rsidRDefault="003E599A" w:rsidP="003E599A">
            <w:pPr>
              <w:pStyle w:val="TableLeftText"/>
            </w:pPr>
            <w:r>
              <w:t>80% Biodiesel</w:t>
            </w:r>
            <w:r w:rsidR="00FF3FAB">
              <w:t xml:space="preserve"> (B80)</w:t>
            </w:r>
          </w:p>
        </w:tc>
        <w:tc>
          <w:tcPr>
            <w:tcW w:w="1569" w:type="dxa"/>
          </w:tcPr>
          <w:p w14:paraId="74F9F01D" w14:textId="5632B041" w:rsidR="003E599A" w:rsidRPr="00FA3A09" w:rsidRDefault="003E599A" w:rsidP="003E599A">
            <w:pPr>
              <w:pStyle w:val="TableCenterText"/>
              <w:jc w:val="right"/>
              <w:cnfStyle w:val="000000010000" w:firstRow="0" w:lastRow="0" w:firstColumn="0" w:lastColumn="0" w:oddVBand="0" w:evenVBand="0" w:oddHBand="0" w:evenHBand="1" w:firstRowFirstColumn="0" w:firstRowLastColumn="0" w:lastRowFirstColumn="0" w:lastRowLastColumn="0"/>
            </w:pPr>
            <w:r w:rsidRPr="003060F2">
              <w:t>5,893</w:t>
            </w:r>
          </w:p>
        </w:tc>
        <w:tc>
          <w:tcPr>
            <w:tcW w:w="1719" w:type="dxa"/>
          </w:tcPr>
          <w:p w14:paraId="337D813F" w14:textId="71A07F95" w:rsidR="003E599A" w:rsidRPr="00FA3A09" w:rsidRDefault="003E599A" w:rsidP="003E599A">
            <w:pPr>
              <w:pStyle w:val="TableCenterText"/>
              <w:jc w:val="right"/>
              <w:cnfStyle w:val="000000010000" w:firstRow="0" w:lastRow="0" w:firstColumn="0" w:lastColumn="0" w:oddVBand="0" w:evenVBand="0" w:oddHBand="0" w:evenHBand="1" w:firstRowFirstColumn="0" w:firstRowLastColumn="0" w:lastRowFirstColumn="0" w:lastRowLastColumn="0"/>
            </w:pPr>
            <w:r w:rsidRPr="003060F2">
              <w:t>5,941</w:t>
            </w:r>
          </w:p>
        </w:tc>
        <w:tc>
          <w:tcPr>
            <w:tcW w:w="1644" w:type="dxa"/>
          </w:tcPr>
          <w:p w14:paraId="70D41956" w14:textId="354B6C65" w:rsidR="003E599A" w:rsidRPr="00FA3A09" w:rsidRDefault="003E599A" w:rsidP="003E599A">
            <w:pPr>
              <w:pStyle w:val="TableCenterText"/>
              <w:jc w:val="right"/>
              <w:cnfStyle w:val="000000010000" w:firstRow="0" w:lastRow="0" w:firstColumn="0" w:lastColumn="0" w:oddVBand="0" w:evenVBand="0" w:oddHBand="0" w:evenHBand="1" w:firstRowFirstColumn="0" w:firstRowLastColumn="0" w:lastRowFirstColumn="0" w:lastRowLastColumn="0"/>
            </w:pPr>
            <w:r w:rsidRPr="003060F2">
              <w:t>7,594</w:t>
            </w:r>
          </w:p>
        </w:tc>
        <w:tc>
          <w:tcPr>
            <w:tcW w:w="1644" w:type="dxa"/>
          </w:tcPr>
          <w:p w14:paraId="13DCF513" w14:textId="298A1C82" w:rsidR="003E599A" w:rsidRPr="00FA3A09" w:rsidRDefault="003E599A" w:rsidP="003E599A">
            <w:pPr>
              <w:pStyle w:val="TableCenterText"/>
              <w:jc w:val="right"/>
              <w:cnfStyle w:val="000000010000" w:firstRow="0" w:lastRow="0" w:firstColumn="0" w:lastColumn="0" w:oddVBand="0" w:evenVBand="0" w:oddHBand="0" w:evenHBand="1" w:firstRowFirstColumn="0" w:firstRowLastColumn="0" w:lastRowFirstColumn="0" w:lastRowLastColumn="0"/>
            </w:pPr>
            <w:r w:rsidRPr="003060F2">
              <w:t>7,086</w:t>
            </w:r>
          </w:p>
        </w:tc>
      </w:tr>
      <w:tr w:rsidR="003E599A" w14:paraId="09E9A112" w14:textId="77777777" w:rsidTr="003E599A">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2836" w:type="dxa"/>
          </w:tcPr>
          <w:p w14:paraId="670E279D" w14:textId="7E7A2749" w:rsidR="003E599A" w:rsidRDefault="003E599A" w:rsidP="003E599A">
            <w:pPr>
              <w:pStyle w:val="TableLeftText"/>
            </w:pPr>
            <w:r>
              <w:t>100% Biodiesel (B100)</w:t>
            </w:r>
          </w:p>
        </w:tc>
        <w:tc>
          <w:tcPr>
            <w:tcW w:w="1569" w:type="dxa"/>
          </w:tcPr>
          <w:p w14:paraId="25129551" w14:textId="39B0A48C" w:rsidR="003E599A" w:rsidRPr="00FA3A09" w:rsidRDefault="003E599A" w:rsidP="003E599A">
            <w:pPr>
              <w:pStyle w:val="TableCenterText"/>
              <w:jc w:val="right"/>
              <w:cnfStyle w:val="000000100000" w:firstRow="0" w:lastRow="0" w:firstColumn="0" w:lastColumn="0" w:oddVBand="0" w:evenVBand="0" w:oddHBand="1" w:evenHBand="0" w:firstRowFirstColumn="0" w:firstRowLastColumn="0" w:lastRowFirstColumn="0" w:lastRowLastColumn="0"/>
            </w:pPr>
            <w:r w:rsidRPr="003060F2">
              <w:t>7,259</w:t>
            </w:r>
          </w:p>
        </w:tc>
        <w:tc>
          <w:tcPr>
            <w:tcW w:w="1719" w:type="dxa"/>
          </w:tcPr>
          <w:p w14:paraId="54F711C0" w14:textId="0CF089BA" w:rsidR="003E599A" w:rsidRPr="00FA3A09" w:rsidRDefault="003E599A" w:rsidP="003E599A">
            <w:pPr>
              <w:pStyle w:val="TableCenterText"/>
              <w:jc w:val="right"/>
              <w:cnfStyle w:val="000000100000" w:firstRow="0" w:lastRow="0" w:firstColumn="0" w:lastColumn="0" w:oddVBand="0" w:evenVBand="0" w:oddHBand="1" w:evenHBand="0" w:firstRowFirstColumn="0" w:firstRowLastColumn="0" w:lastRowFirstColumn="0" w:lastRowLastColumn="0"/>
            </w:pPr>
            <w:r w:rsidRPr="003060F2">
              <w:t>7,319</w:t>
            </w:r>
          </w:p>
        </w:tc>
        <w:tc>
          <w:tcPr>
            <w:tcW w:w="1644" w:type="dxa"/>
          </w:tcPr>
          <w:p w14:paraId="2570DDF9" w14:textId="769853C2" w:rsidR="003E599A" w:rsidRPr="00FA3A09" w:rsidRDefault="003E599A" w:rsidP="003E599A">
            <w:pPr>
              <w:pStyle w:val="TableCenterText"/>
              <w:jc w:val="right"/>
              <w:cnfStyle w:val="000000100000" w:firstRow="0" w:lastRow="0" w:firstColumn="0" w:lastColumn="0" w:oddVBand="0" w:evenVBand="0" w:oddHBand="1" w:evenHBand="0" w:firstRowFirstColumn="0" w:firstRowLastColumn="0" w:lastRowFirstColumn="0" w:lastRowLastColumn="0"/>
            </w:pPr>
            <w:r w:rsidRPr="003060F2">
              <w:t>9,354</w:t>
            </w:r>
          </w:p>
        </w:tc>
        <w:tc>
          <w:tcPr>
            <w:tcW w:w="1644" w:type="dxa"/>
          </w:tcPr>
          <w:p w14:paraId="76007085" w14:textId="353B70A6" w:rsidR="003E599A" w:rsidRPr="00FA3A09" w:rsidRDefault="003E599A" w:rsidP="003E599A">
            <w:pPr>
              <w:pStyle w:val="TableCenterText"/>
              <w:jc w:val="right"/>
              <w:cnfStyle w:val="000000100000" w:firstRow="0" w:lastRow="0" w:firstColumn="0" w:lastColumn="0" w:oddVBand="0" w:evenVBand="0" w:oddHBand="1" w:evenHBand="0" w:firstRowFirstColumn="0" w:firstRowLastColumn="0" w:lastRowFirstColumn="0" w:lastRowLastColumn="0"/>
            </w:pPr>
            <w:r w:rsidRPr="003060F2">
              <w:t>8,728</w:t>
            </w:r>
          </w:p>
        </w:tc>
      </w:tr>
    </w:tbl>
    <w:p w14:paraId="5956A139" w14:textId="52C0F841" w:rsidR="005742EA" w:rsidRDefault="005742EA" w:rsidP="005742EA">
      <w:pPr>
        <w:pStyle w:val="Heading4"/>
      </w:pPr>
      <w:r>
        <w:t xml:space="preserve">Decarbonization </w:t>
      </w:r>
      <w:r w:rsidRPr="00AF1550">
        <w:t xml:space="preserve">and Energy </w:t>
      </w:r>
      <w:r w:rsidR="00416C7A">
        <w:t>I</w:t>
      </w:r>
      <w:r w:rsidR="00416C7A" w:rsidRPr="00AF1550">
        <w:t xml:space="preserve">mpacts </w:t>
      </w:r>
      <w:r>
        <w:t>Algorithms</w:t>
      </w:r>
    </w:p>
    <w:p w14:paraId="6B73E465" w14:textId="1D44E0C4" w:rsidR="005742EA" w:rsidRPr="00AF1550" w:rsidRDefault="005742EA" w:rsidP="005742EA">
      <w:r w:rsidRPr="00AF1550">
        <w:tab/>
        <w:t>CO</w:t>
      </w:r>
      <w:r w:rsidRPr="00525B2C">
        <w:rPr>
          <w:vertAlign w:val="subscript"/>
        </w:rPr>
        <w:t>2</w:t>
      </w:r>
      <w:r w:rsidRPr="00AF1550">
        <w:t>e (gCO</w:t>
      </w:r>
      <w:r w:rsidRPr="00525B2C">
        <w:rPr>
          <w:vertAlign w:val="subscript"/>
        </w:rPr>
        <w:t>2</w:t>
      </w:r>
      <w:r w:rsidRPr="00AF1550">
        <w:t xml:space="preserve">e) = </w:t>
      </w:r>
      <m:oMath>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base</m:t>
                </m:r>
              </m:sub>
            </m:sSub>
            <m:r>
              <w:rPr>
                <w:rFonts w:ascii="Cambria Math" w:hAnsi="Cambria Math"/>
              </w:rPr>
              <m:t>-</m:t>
            </m:r>
            <m:sSub>
              <m:sSubPr>
                <m:ctrlPr>
                  <w:rPr>
                    <w:rFonts w:ascii="Cambria Math" w:hAnsi="Cambria Math"/>
                    <w:i/>
                  </w:rPr>
                </m:ctrlPr>
              </m:sSubPr>
              <m:e>
                <m:r>
                  <w:rPr>
                    <w:rFonts w:ascii="Cambria Math" w:hAnsi="Cambria Math"/>
                  </w:rPr>
                  <m:t>CI</m:t>
                </m:r>
              </m:e>
              <m:sub>
                <m:r>
                  <w:rPr>
                    <w:rFonts w:ascii="Cambria Math" w:hAnsi="Cambria Math"/>
                  </w:rPr>
                  <m:t>prop</m:t>
                </m:r>
              </m:sub>
            </m:sSub>
          </m:e>
        </m:d>
        <m:r>
          <w:rPr>
            <w:rFonts w:ascii="Cambria Math" w:hAnsi="Cambria Math"/>
          </w:rPr>
          <m:t>×E</m:t>
        </m:r>
      </m:oMath>
    </w:p>
    <w:p w14:paraId="1A8544E1" w14:textId="77777777" w:rsidR="00257E63" w:rsidRPr="00AF1550" w:rsidRDefault="00A86DE3" w:rsidP="00257E63">
      <w:pPr>
        <w:ind w:left="1440"/>
      </w:pPr>
      <w:bookmarkStart w:id="26" w:name="_Hlk175734503"/>
      <w:proofErr w:type="spellStart"/>
      <w:r>
        <w:t>CI</w:t>
      </w:r>
      <w:r w:rsidR="005742EA" w:rsidRPr="00AF1550">
        <w:rPr>
          <w:vertAlign w:val="subscript"/>
        </w:rPr>
        <w:t>base</w:t>
      </w:r>
      <w:proofErr w:type="spellEnd"/>
      <w:r w:rsidR="005742EA" w:rsidRPr="00AF1550">
        <w:t xml:space="preserve"> </w:t>
      </w:r>
      <w:bookmarkEnd w:id="26"/>
      <w:r w:rsidR="005742EA" w:rsidRPr="00AF1550">
        <w:t>=</w:t>
      </w:r>
      <w:r w:rsidR="00416C7A">
        <w:t xml:space="preserve"> F</w:t>
      </w:r>
      <w:r w:rsidR="00525B2C">
        <w:t>uel oil #2</w:t>
      </w:r>
      <w:r w:rsidR="005742EA">
        <w:t xml:space="preserve"> </w:t>
      </w:r>
      <w:r w:rsidR="00E24A4F">
        <w:t>carbon intensity value (</w:t>
      </w:r>
      <w:r w:rsidR="005742EA">
        <w:t>gCO</w:t>
      </w:r>
      <w:r w:rsidR="005742EA" w:rsidRPr="00E03B38">
        <w:rPr>
          <w:vertAlign w:val="subscript"/>
        </w:rPr>
        <w:t>2</w:t>
      </w:r>
      <w:r w:rsidR="005742EA" w:rsidRPr="00A45E83">
        <w:t>e</w:t>
      </w:r>
      <w:r w:rsidR="005742EA">
        <w:t>/MJ</w:t>
      </w:r>
      <w:r w:rsidR="00E24A4F">
        <w:t>)</w:t>
      </w:r>
      <w:r w:rsidR="005742EA">
        <w:t xml:space="preserve">. </w:t>
      </w:r>
      <w:r w:rsidR="00257E63">
        <w:t>Varies by year; see &lt;EMISSIONS SCHEDULE&gt; in &lt;FRONT MATTER SECTION&gt;.</w:t>
      </w:r>
    </w:p>
    <w:p w14:paraId="26AF3004" w14:textId="5D1FA9A8" w:rsidR="005742EA" w:rsidRDefault="00A86DE3" w:rsidP="005742EA">
      <w:pPr>
        <w:ind w:left="1440"/>
      </w:pPr>
      <w:proofErr w:type="spellStart"/>
      <w:r>
        <w:t>CI</w:t>
      </w:r>
      <w:r w:rsidR="005742EA" w:rsidRPr="00AF1550">
        <w:rPr>
          <w:vertAlign w:val="subscript"/>
        </w:rPr>
        <w:t>prop</w:t>
      </w:r>
      <w:proofErr w:type="spellEnd"/>
      <w:r w:rsidR="005742EA" w:rsidRPr="00AF1550">
        <w:t xml:space="preserve"> = </w:t>
      </w:r>
      <w:r w:rsidR="00416C7A">
        <w:t>B</w:t>
      </w:r>
      <w:r w:rsidR="00525B2C">
        <w:t>iodiesel</w:t>
      </w:r>
      <w:r w:rsidR="005742EA" w:rsidRPr="00AF1550">
        <w:t xml:space="preserve"> </w:t>
      </w:r>
      <w:r w:rsidR="00E24A4F">
        <w:t>carbon intensity value (</w:t>
      </w:r>
      <w:r w:rsidR="005742EA">
        <w:t>gCO</w:t>
      </w:r>
      <w:r w:rsidR="005742EA" w:rsidRPr="00E03B38">
        <w:rPr>
          <w:vertAlign w:val="subscript"/>
        </w:rPr>
        <w:t>2</w:t>
      </w:r>
      <w:r w:rsidR="005742EA" w:rsidRPr="00A45E83">
        <w:t>e</w:t>
      </w:r>
      <w:r w:rsidR="005742EA">
        <w:t>/MJ</w:t>
      </w:r>
      <w:r w:rsidR="00E24A4F">
        <w:t>)</w:t>
      </w:r>
      <w:r w:rsidR="005742EA">
        <w:t xml:space="preserve">, based on fuel </w:t>
      </w:r>
      <w:r w:rsidR="00525B2C">
        <w:t>pathway</w:t>
      </w:r>
      <w:r w:rsidR="005742EA" w:rsidRPr="00AF1550">
        <w:t xml:space="preserve">. </w:t>
      </w:r>
      <w:r w:rsidR="00257E63">
        <w:t>Varies by year; see &lt;EMISSIONS SCHEDULE&gt; in &lt;FRONT MATTER SECTION&gt;.</w:t>
      </w:r>
      <w:r w:rsidR="005742EA" w:rsidRPr="00AF1550">
        <w:t xml:space="preserve"> </w:t>
      </w:r>
      <w:r w:rsidR="005742EA" w:rsidRPr="007B762C">
        <w:t xml:space="preserve">If a blend of </w:t>
      </w:r>
      <w:r w:rsidR="00525B2C">
        <w:t>biodiesel from various pathways</w:t>
      </w:r>
      <w:r w:rsidR="005742EA" w:rsidRPr="007B762C">
        <w:t xml:space="preserve"> </w:t>
      </w:r>
      <w:bookmarkStart w:id="27" w:name="_Hlk175151245"/>
      <w:r w:rsidR="005742EA" w:rsidRPr="007B762C">
        <w:t>is used, then develop a weighted average</w:t>
      </w:r>
      <w:r w:rsidR="005742EA">
        <w:t xml:space="preserve"> by volume</w:t>
      </w:r>
      <w:r w:rsidR="005742EA" w:rsidRPr="007B762C">
        <w:t>.</w:t>
      </w:r>
      <w:bookmarkEnd w:id="27"/>
      <w:r w:rsidR="006C0BA7">
        <w:t xml:space="preserve"> If a biodiesel blend (e.g., B20 – 20% biodiesel and </w:t>
      </w:r>
      <w:r w:rsidR="006C0BA7">
        <w:lastRenderedPageBreak/>
        <w:t>80% fuel oil #2) is used, r</w:t>
      </w:r>
      <w:r w:rsidR="00E24A4F">
        <w:t>ef</w:t>
      </w:r>
      <w:r w:rsidR="006C0BA7">
        <w:t xml:space="preserve">er to </w:t>
      </w:r>
      <w:r w:rsidR="00165D28">
        <w:rPr>
          <w:highlight w:val="yellow"/>
        </w:rPr>
        <w:fldChar w:fldCharType="begin"/>
      </w:r>
      <w:r w:rsidR="00165D28">
        <w:instrText xml:space="preserve"> REF _Ref175925501 \h </w:instrText>
      </w:r>
      <w:r w:rsidR="00165D28">
        <w:rPr>
          <w:highlight w:val="yellow"/>
        </w:rPr>
      </w:r>
      <w:r w:rsidR="00165D28">
        <w:rPr>
          <w:highlight w:val="yellow"/>
        </w:rPr>
        <w:fldChar w:fldCharType="separate"/>
      </w:r>
      <w:r w:rsidR="008F724F">
        <w:t xml:space="preserve">Table </w:t>
      </w:r>
      <w:r w:rsidR="008F724F">
        <w:rPr>
          <w:noProof/>
        </w:rPr>
        <w:t>4</w:t>
      </w:r>
      <w:r w:rsidR="00165D28">
        <w:rPr>
          <w:highlight w:val="yellow"/>
        </w:rPr>
        <w:fldChar w:fldCharType="end"/>
      </w:r>
      <w:r w:rsidR="006C0BA7">
        <w:t xml:space="preserve"> for the appropriate </w:t>
      </w:r>
      <w:proofErr w:type="spellStart"/>
      <w:r>
        <w:t>CI</w:t>
      </w:r>
      <w:r w:rsidR="006C0BA7">
        <w:rPr>
          <w:vertAlign w:val="subscript"/>
        </w:rPr>
        <w:t>prop</w:t>
      </w:r>
      <w:proofErr w:type="spellEnd"/>
      <w:r w:rsidR="006C0BA7">
        <w:t>.</w:t>
      </w:r>
      <w:r w:rsidR="006C0BA7" w:rsidRPr="006C0BA7">
        <w:t xml:space="preserve"> </w:t>
      </w:r>
      <w:r w:rsidR="006C0BA7">
        <w:t xml:space="preserve">If the </w:t>
      </w:r>
      <w:r w:rsidR="003039BF">
        <w:t>delivered biodiesel</w:t>
      </w:r>
      <w:r w:rsidR="006C0BA7">
        <w:t xml:space="preserve"> blend is not shown, calculate the correct </w:t>
      </w:r>
      <w:proofErr w:type="spellStart"/>
      <w:r>
        <w:t>CI</w:t>
      </w:r>
      <w:r w:rsidR="006C0BA7">
        <w:rPr>
          <w:vertAlign w:val="subscript"/>
        </w:rPr>
        <w:t>prop</w:t>
      </w:r>
      <w:proofErr w:type="spellEnd"/>
      <w:r w:rsidR="006C0BA7">
        <w:t xml:space="preserve"> using the following formula.</w:t>
      </w:r>
    </w:p>
    <w:p w14:paraId="51FB5C4F" w14:textId="4ADE44A5" w:rsidR="006C0BA7" w:rsidRDefault="006C0BA7" w:rsidP="005742EA">
      <w:pPr>
        <w:ind w:left="1440"/>
      </w:pPr>
      <w:r>
        <w:tab/>
      </w:r>
      <w:proofErr w:type="spellStart"/>
      <w:r w:rsidR="00A86DE3">
        <w:t>CI</w:t>
      </w:r>
      <w:r>
        <w:rPr>
          <w:vertAlign w:val="subscript"/>
        </w:rPr>
        <w:t>prop</w:t>
      </w:r>
      <w:proofErr w:type="spellEnd"/>
      <w:r>
        <w:t xml:space="preserve"> = </w:t>
      </w:r>
      <m:oMath>
        <m:d>
          <m:dPr>
            <m:ctrlPr>
              <w:rPr>
                <w:rFonts w:ascii="Cambria Math" w:hAnsi="Cambria Math"/>
                <w:i/>
              </w:rPr>
            </m:ctrlPr>
          </m:dPr>
          <m:e>
            <m:r>
              <w:rPr>
                <w:rFonts w:ascii="Cambria Math" w:hAnsi="Cambria Math"/>
              </w:rPr>
              <m:t>%BD×</m:t>
            </m:r>
            <m:sSub>
              <m:sSubPr>
                <m:ctrlPr>
                  <w:rPr>
                    <w:rFonts w:ascii="Cambria Math" w:hAnsi="Cambria Math"/>
                    <w:i/>
                  </w:rPr>
                </m:ctrlPr>
              </m:sSubPr>
              <m:e>
                <m:r>
                  <w:rPr>
                    <w:rFonts w:ascii="Cambria Math" w:hAnsi="Cambria Math"/>
                  </w:rPr>
                  <m:t>EF</m:t>
                </m:r>
              </m:e>
              <m:sub>
                <m:r>
                  <w:rPr>
                    <w:rFonts w:ascii="Cambria Math" w:hAnsi="Cambria Math"/>
                  </w:rPr>
                  <m:t>BD100</m:t>
                </m:r>
              </m:sub>
            </m:sSub>
          </m:e>
        </m:d>
        <m:r>
          <w:rPr>
            <w:rFonts w:ascii="Cambria Math" w:hAnsi="Cambria Math"/>
          </w:rPr>
          <m:t>+</m:t>
        </m:r>
        <m:d>
          <m:dPr>
            <m:ctrlPr>
              <w:rPr>
                <w:rFonts w:ascii="Cambria Math" w:hAnsi="Cambria Math"/>
                <w:i/>
              </w:rPr>
            </m:ctrlPr>
          </m:dPr>
          <m:e>
            <m:d>
              <m:dPr>
                <m:ctrlPr>
                  <w:rPr>
                    <w:rFonts w:ascii="Cambria Math" w:hAnsi="Cambria Math"/>
                    <w:i/>
                  </w:rPr>
                </m:ctrlPr>
              </m:dPr>
              <m:e>
                <m:r>
                  <w:rPr>
                    <w:rFonts w:ascii="Cambria Math" w:hAnsi="Cambria Math"/>
                  </w:rPr>
                  <m:t>1-%BD</m:t>
                </m:r>
              </m:e>
            </m:d>
            <m:r>
              <w:rPr>
                <w:rFonts w:ascii="Cambria Math" w:hAnsi="Cambria Math"/>
              </w:rPr>
              <m:t>×</m:t>
            </m:r>
            <m:sSub>
              <m:sSubPr>
                <m:ctrlPr>
                  <w:rPr>
                    <w:rFonts w:ascii="Cambria Math" w:hAnsi="Cambria Math"/>
                    <w:i/>
                  </w:rPr>
                </m:ctrlPr>
              </m:sSubPr>
              <m:e>
                <m:r>
                  <w:rPr>
                    <w:rFonts w:ascii="Cambria Math" w:hAnsi="Cambria Math"/>
                  </w:rPr>
                  <m:t>EF</m:t>
                </m:r>
              </m:e>
              <m:sub>
                <m:r>
                  <w:rPr>
                    <w:rFonts w:ascii="Cambria Math" w:hAnsi="Cambria Math"/>
                  </w:rPr>
                  <m:t>base</m:t>
                </m:r>
              </m:sub>
            </m:sSub>
          </m:e>
        </m:d>
      </m:oMath>
    </w:p>
    <w:p w14:paraId="0E25663F" w14:textId="53F9C7C9" w:rsidR="006C0BA7" w:rsidRDefault="006C0BA7" w:rsidP="005742EA">
      <w:pPr>
        <w:ind w:left="1440"/>
      </w:pPr>
      <w:r>
        <w:tab/>
      </w:r>
      <w:r>
        <w:tab/>
        <w:t>%BD = The percentage of biodiesel, by volume, within the fuel.</w:t>
      </w:r>
    </w:p>
    <w:p w14:paraId="0B576907" w14:textId="0709E95A" w:rsidR="005F206F" w:rsidRPr="005F206F" w:rsidRDefault="005F206F" w:rsidP="005742EA">
      <w:pPr>
        <w:ind w:left="1440"/>
      </w:pPr>
      <w:r>
        <w:tab/>
      </w:r>
      <w:r>
        <w:tab/>
      </w:r>
      <w:r w:rsidR="00A86DE3">
        <w:t>CI</w:t>
      </w:r>
      <w:r>
        <w:rPr>
          <w:vertAlign w:val="subscript"/>
        </w:rPr>
        <w:t>BD100</w:t>
      </w:r>
      <w:r>
        <w:t xml:space="preserve"> = The </w:t>
      </w:r>
      <w:r w:rsidR="00E24A4F">
        <w:t>carbon intensity value</w:t>
      </w:r>
      <w:r>
        <w:t xml:space="preserve"> for 100% biodiesel.</w:t>
      </w:r>
    </w:p>
    <w:p w14:paraId="29D1C758" w14:textId="1AEBF97F" w:rsidR="005742EA" w:rsidRDefault="005742EA" w:rsidP="005742EA">
      <w:pPr>
        <w:ind w:left="1440"/>
      </w:pPr>
      <w:r w:rsidRPr="007313F2">
        <w:t>Ε</w:t>
      </w:r>
      <w:r>
        <w:t xml:space="preserve"> = The total energy of the </w:t>
      </w:r>
      <w:r w:rsidR="00525B2C">
        <w:t>biodiesel</w:t>
      </w:r>
      <w:r>
        <w:t xml:space="preserve"> delivered to the end-user in megajoules.</w:t>
      </w:r>
    </w:p>
    <w:p w14:paraId="6FD95627" w14:textId="0BD00E9D" w:rsidR="005742EA" w:rsidRDefault="005742EA" w:rsidP="005742EA">
      <w:pPr>
        <w:pStyle w:val="Heading5"/>
        <w:ind w:firstLine="720"/>
      </w:pPr>
      <w:r w:rsidRPr="00AF1550">
        <w:t xml:space="preserve">Energy </w:t>
      </w:r>
      <w:r w:rsidR="00525B2C">
        <w:t>I</w:t>
      </w:r>
      <w:r w:rsidRPr="00AF1550">
        <w:t>mpacts Algorithms</w:t>
      </w:r>
    </w:p>
    <w:p w14:paraId="7FCB188A" w14:textId="77777777" w:rsidR="005742EA" w:rsidRDefault="005742EA" w:rsidP="005742EA">
      <w:r>
        <w:tab/>
        <w:t xml:space="preserve">E = </w:t>
      </w:r>
      <m:oMath>
        <m:d>
          <m:dPr>
            <m:ctrlPr>
              <w:rPr>
                <w:rFonts w:ascii="Cambria Math" w:hAnsi="Cambria Math"/>
                <w:i/>
              </w:rPr>
            </m:ctrlPr>
          </m:dPr>
          <m:e>
            <m:sSub>
              <m:sSubPr>
                <m:ctrlPr>
                  <w:rPr>
                    <w:rFonts w:ascii="Cambria Math" w:hAnsi="Cambria Math"/>
                    <w:i/>
                  </w:rPr>
                </m:ctrlPr>
              </m:sSubPr>
              <m:e>
                <m:r>
                  <w:rPr>
                    <w:rFonts w:ascii="Cambria Math" w:hAnsi="Cambria Math"/>
                  </w:rPr>
                  <m:t>V</m:t>
                </m:r>
              </m:e>
              <m:sub>
                <m:r>
                  <w:rPr>
                    <w:rFonts w:ascii="Cambria Math" w:hAnsi="Cambria Math"/>
                  </w:rPr>
                  <m:t>BD</m:t>
                </m:r>
              </m:sub>
            </m:sSub>
            <m:r>
              <w:rPr>
                <w:rFonts w:ascii="Cambria Math" w:hAnsi="Cambria Math"/>
              </w:rPr>
              <m:t>×</m:t>
            </m:r>
            <m:sSub>
              <m:sSubPr>
                <m:ctrlPr>
                  <w:rPr>
                    <w:rFonts w:ascii="Cambria Math" w:hAnsi="Cambria Math"/>
                    <w:i/>
                  </w:rPr>
                </m:ctrlPr>
              </m:sSubPr>
              <m:e>
                <m:r>
                  <w:rPr>
                    <w:rFonts w:ascii="Cambria Math" w:hAnsi="Cambria Math"/>
                  </w:rPr>
                  <m:t>LHV</m:t>
                </m:r>
              </m:e>
              <m:sub>
                <m:r>
                  <w:rPr>
                    <w:rFonts w:ascii="Cambria Math" w:hAnsi="Cambria Math"/>
                  </w:rPr>
                  <m:t>BD</m:t>
                </m:r>
              </m:sub>
            </m:sSub>
          </m:e>
        </m:d>
      </m:oMath>
    </w:p>
    <w:p w14:paraId="2D79686F" w14:textId="42AEEBB8" w:rsidR="005742EA" w:rsidRDefault="005742EA" w:rsidP="005742EA">
      <w:pPr>
        <w:rPr>
          <w:b/>
          <w:bCs/>
        </w:rPr>
      </w:pPr>
      <w:r w:rsidRPr="00D035ED">
        <w:rPr>
          <w:b/>
          <w:bCs/>
        </w:rPr>
        <w:tab/>
        <w:t xml:space="preserve">Input </w:t>
      </w:r>
      <w:r>
        <w:rPr>
          <w:b/>
          <w:bCs/>
        </w:rPr>
        <w:t>V</w:t>
      </w:r>
      <w:r w:rsidRPr="00D035ED">
        <w:rPr>
          <w:b/>
          <w:bCs/>
        </w:rPr>
        <w:t xml:space="preserve">ariable </w:t>
      </w:r>
      <w:r>
        <w:rPr>
          <w:b/>
          <w:bCs/>
        </w:rPr>
        <w:t>D</w:t>
      </w:r>
      <w:r w:rsidR="00E24A4F">
        <w:rPr>
          <w:b/>
          <w:bCs/>
        </w:rPr>
        <w:t>ef</w:t>
      </w:r>
      <w:r w:rsidRPr="00D035ED">
        <w:rPr>
          <w:b/>
          <w:bCs/>
        </w:rPr>
        <w:t>initions</w:t>
      </w:r>
    </w:p>
    <w:p w14:paraId="25A83F5F" w14:textId="53F44CBE" w:rsidR="005742EA" w:rsidRDefault="005742EA" w:rsidP="005742EA">
      <w:pPr>
        <w:ind w:left="1440"/>
      </w:pPr>
      <w:r>
        <w:t>V</w:t>
      </w:r>
      <w:r>
        <w:rPr>
          <w:vertAlign w:val="subscript"/>
        </w:rPr>
        <w:t>BD</w:t>
      </w:r>
      <w:r>
        <w:t xml:space="preserve"> = The total volume of biodiesel that is delivered to the end-user </w:t>
      </w:r>
      <w:bookmarkStart w:id="28" w:name="_Hlk175653146"/>
      <w:r>
        <w:t xml:space="preserve">in </w:t>
      </w:r>
      <w:bookmarkEnd w:id="28"/>
      <w:r>
        <w:t xml:space="preserve">gallons. </w:t>
      </w:r>
    </w:p>
    <w:p w14:paraId="4293D935" w14:textId="66621C44" w:rsidR="005742EA" w:rsidRPr="006C0BA7" w:rsidRDefault="005742EA" w:rsidP="005742EA">
      <w:pPr>
        <w:ind w:left="1440"/>
      </w:pPr>
      <w:r>
        <w:t>LHV</w:t>
      </w:r>
      <w:r w:rsidRPr="00334C57">
        <w:rPr>
          <w:vertAlign w:val="subscript"/>
        </w:rPr>
        <w:t>BD</w:t>
      </w:r>
      <w:r>
        <w:t xml:space="preserve"> = Lower Heating Value of biodiesel in units of MJ/gallon.</w:t>
      </w:r>
      <w:r>
        <w:rPr>
          <w:rStyle w:val="FootnoteReference"/>
        </w:rPr>
        <w:footnoteReference w:id="7"/>
      </w:r>
      <w:r w:rsidR="006C0BA7">
        <w:t xml:space="preserve"> R</w:t>
      </w:r>
      <w:r w:rsidR="0014392F">
        <w:t>ef</w:t>
      </w:r>
      <w:r w:rsidR="006C0BA7">
        <w:t xml:space="preserve">er to </w:t>
      </w:r>
      <w:r w:rsidR="00165D28">
        <w:rPr>
          <w:highlight w:val="yellow"/>
        </w:rPr>
        <w:fldChar w:fldCharType="begin"/>
      </w:r>
      <w:r w:rsidR="00165D28">
        <w:instrText xml:space="preserve"> REF _Ref175925501 \h </w:instrText>
      </w:r>
      <w:r w:rsidR="00165D28">
        <w:rPr>
          <w:highlight w:val="yellow"/>
        </w:rPr>
      </w:r>
      <w:r w:rsidR="00165D28">
        <w:rPr>
          <w:highlight w:val="yellow"/>
        </w:rPr>
        <w:fldChar w:fldCharType="separate"/>
      </w:r>
      <w:r w:rsidR="008F724F">
        <w:t xml:space="preserve">Table </w:t>
      </w:r>
      <w:r w:rsidR="008F724F">
        <w:rPr>
          <w:noProof/>
        </w:rPr>
        <w:t>4</w:t>
      </w:r>
      <w:r w:rsidR="00165D28">
        <w:rPr>
          <w:highlight w:val="yellow"/>
        </w:rPr>
        <w:fldChar w:fldCharType="end"/>
      </w:r>
      <w:r w:rsidR="00165D28">
        <w:t xml:space="preserve"> </w:t>
      </w:r>
      <w:r w:rsidR="006C0BA7">
        <w:t>for the appropriate LHV for the biodiesel blend delivered to the end user. If the delivered biodiesel blend is not shown, calculate the correct LHV</w:t>
      </w:r>
      <w:r w:rsidR="00165D28">
        <w:rPr>
          <w:vertAlign w:val="subscript"/>
        </w:rPr>
        <w:t>BD</w:t>
      </w:r>
      <w:r w:rsidR="006C0BA7">
        <w:t xml:space="preserve"> using the following formula.</w:t>
      </w:r>
    </w:p>
    <w:p w14:paraId="4E9537B0" w14:textId="6886E23F" w:rsidR="006C0BA7" w:rsidRDefault="006C0BA7" w:rsidP="006C0BA7">
      <w:pPr>
        <w:ind w:left="1440"/>
      </w:pPr>
      <w:r>
        <w:t>LHV</w:t>
      </w:r>
      <w:r>
        <w:rPr>
          <w:vertAlign w:val="subscript"/>
        </w:rPr>
        <w:t>BD</w:t>
      </w:r>
      <w:r>
        <w:t xml:space="preserve"> = </w:t>
      </w:r>
      <m:oMath>
        <m:d>
          <m:dPr>
            <m:ctrlPr>
              <w:rPr>
                <w:rFonts w:ascii="Cambria Math" w:hAnsi="Cambria Math"/>
                <w:i/>
              </w:rPr>
            </m:ctrlPr>
          </m:dPr>
          <m:e>
            <m:r>
              <w:rPr>
                <w:rFonts w:ascii="Cambria Math" w:hAnsi="Cambria Math"/>
              </w:rPr>
              <m:t>%BD×</m:t>
            </m:r>
            <m:sSub>
              <m:sSubPr>
                <m:ctrlPr>
                  <w:rPr>
                    <w:rFonts w:ascii="Cambria Math" w:hAnsi="Cambria Math"/>
                    <w:i/>
                  </w:rPr>
                </m:ctrlPr>
              </m:sSubPr>
              <m:e>
                <m:r>
                  <w:rPr>
                    <w:rFonts w:ascii="Cambria Math" w:hAnsi="Cambria Math"/>
                  </w:rPr>
                  <m:t>LHV</m:t>
                </m:r>
              </m:e>
              <m:sub>
                <m:r>
                  <w:rPr>
                    <w:rFonts w:ascii="Cambria Math" w:hAnsi="Cambria Math"/>
                  </w:rPr>
                  <m:t>BD100</m:t>
                </m:r>
              </m:sub>
            </m:sSub>
          </m:e>
        </m:d>
        <m:r>
          <w:rPr>
            <w:rFonts w:ascii="Cambria Math" w:hAnsi="Cambria Math"/>
          </w:rPr>
          <m:t>+</m:t>
        </m:r>
        <m:d>
          <m:dPr>
            <m:ctrlPr>
              <w:rPr>
                <w:rFonts w:ascii="Cambria Math" w:hAnsi="Cambria Math"/>
                <w:i/>
              </w:rPr>
            </m:ctrlPr>
          </m:dPr>
          <m:e>
            <m:d>
              <m:dPr>
                <m:ctrlPr>
                  <w:rPr>
                    <w:rFonts w:ascii="Cambria Math" w:hAnsi="Cambria Math"/>
                    <w:i/>
                  </w:rPr>
                </m:ctrlPr>
              </m:dPr>
              <m:e>
                <m:r>
                  <w:rPr>
                    <w:rFonts w:ascii="Cambria Math" w:hAnsi="Cambria Math"/>
                  </w:rPr>
                  <m:t>1-%BD</m:t>
                </m:r>
              </m:e>
            </m:d>
            <m:r>
              <w:rPr>
                <w:rFonts w:ascii="Cambria Math" w:hAnsi="Cambria Math"/>
              </w:rPr>
              <m:t>×</m:t>
            </m:r>
            <m:sSub>
              <m:sSubPr>
                <m:ctrlPr>
                  <w:rPr>
                    <w:rFonts w:ascii="Cambria Math" w:hAnsi="Cambria Math"/>
                    <w:i/>
                  </w:rPr>
                </m:ctrlPr>
              </m:sSubPr>
              <m:e>
                <m:r>
                  <w:rPr>
                    <w:rFonts w:ascii="Cambria Math" w:hAnsi="Cambria Math"/>
                  </w:rPr>
                  <m:t>LHV</m:t>
                </m:r>
              </m:e>
              <m:sub>
                <m:r>
                  <w:rPr>
                    <w:rFonts w:ascii="Cambria Math" w:hAnsi="Cambria Math"/>
                  </w:rPr>
                  <m:t>oil</m:t>
                </m:r>
              </m:sub>
            </m:sSub>
          </m:e>
        </m:d>
      </m:oMath>
    </w:p>
    <w:p w14:paraId="7BF05B96" w14:textId="2D99D35B" w:rsidR="006C0BA7" w:rsidRDefault="005F206F" w:rsidP="005742EA">
      <w:pPr>
        <w:ind w:left="1440"/>
      </w:pPr>
      <w:r>
        <w:tab/>
        <w:t>LHV</w:t>
      </w:r>
      <w:r w:rsidRPr="003039BF">
        <w:rPr>
          <w:vertAlign w:val="subscript"/>
        </w:rPr>
        <w:t>BD100</w:t>
      </w:r>
      <w:r w:rsidRPr="003039BF">
        <w:t xml:space="preserve"> = </w:t>
      </w:r>
      <w:r w:rsidRPr="005F206F">
        <w:t xml:space="preserve">Lower Heating Value of </w:t>
      </w:r>
      <w:r>
        <w:t>a 100% biodiesel fuel</w:t>
      </w:r>
      <w:r w:rsidR="00165D28">
        <w:t>, 126.21 MJ/gal</w:t>
      </w:r>
      <w:r>
        <w:t>.</w:t>
      </w:r>
    </w:p>
    <w:p w14:paraId="4D710301" w14:textId="51BBB931" w:rsidR="005F206F" w:rsidRDefault="005F206F" w:rsidP="005742EA">
      <w:pPr>
        <w:ind w:left="1440"/>
      </w:pPr>
      <w:r>
        <w:tab/>
      </w:r>
      <w:proofErr w:type="spellStart"/>
      <w:r>
        <w:t>LHV</w:t>
      </w:r>
      <w:r>
        <w:rPr>
          <w:vertAlign w:val="subscript"/>
        </w:rPr>
        <w:t>oil</w:t>
      </w:r>
      <w:proofErr w:type="spellEnd"/>
      <w:r>
        <w:t xml:space="preserve"> = Lower Heating Value of fuel oil #2, 135.52 MJ/gal.</w:t>
      </w:r>
    </w:p>
    <w:p w14:paraId="6BC973EF" w14:textId="221A6589" w:rsidR="00165D28" w:rsidRDefault="00165D28" w:rsidP="00813BC9">
      <w:pPr>
        <w:pStyle w:val="Caption"/>
      </w:pPr>
      <w:bookmarkStart w:id="29" w:name="_Ref175925501"/>
      <w:r>
        <w:t xml:space="preserve">Table </w:t>
      </w:r>
      <w:r>
        <w:fldChar w:fldCharType="begin"/>
      </w:r>
      <w:r>
        <w:instrText xml:space="preserve"> SEQ Table \* ARABIC </w:instrText>
      </w:r>
      <w:r>
        <w:fldChar w:fldCharType="separate"/>
      </w:r>
      <w:r w:rsidR="008F724F">
        <w:rPr>
          <w:noProof/>
        </w:rPr>
        <w:t>4</w:t>
      </w:r>
      <w:r>
        <w:fldChar w:fldCharType="end"/>
      </w:r>
      <w:bookmarkEnd w:id="29"/>
      <w:r>
        <w:t xml:space="preserve">. Lower Heating Values and </w:t>
      </w:r>
      <w:r w:rsidR="0014392F">
        <w:t>Carbon Intensity Values</w:t>
      </w:r>
      <w:r>
        <w:t xml:space="preserve"> for Biodiesel Blends</w:t>
      </w:r>
    </w:p>
    <w:tbl>
      <w:tblPr>
        <w:tblStyle w:val="TableGrid"/>
        <w:tblW w:w="0" w:type="auto"/>
        <w:tblLook w:val="04A0" w:firstRow="1" w:lastRow="0" w:firstColumn="1" w:lastColumn="0" w:noHBand="0" w:noVBand="1"/>
      </w:tblPr>
      <w:tblGrid>
        <w:gridCol w:w="2155"/>
        <w:gridCol w:w="1800"/>
        <w:gridCol w:w="1785"/>
        <w:gridCol w:w="1785"/>
        <w:gridCol w:w="1785"/>
        <w:gridCol w:w="1786"/>
      </w:tblGrid>
      <w:tr w:rsidR="00165D28" w14:paraId="0049C135" w14:textId="77777777" w:rsidTr="00165D2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55" w:type="dxa"/>
            <w:vMerge w:val="restart"/>
            <w:tcBorders>
              <w:bottom w:val="single" w:sz="4" w:space="0" w:color="4D4D4F"/>
            </w:tcBorders>
          </w:tcPr>
          <w:p w14:paraId="1D3C4CD8" w14:textId="77777777" w:rsidR="00165D28" w:rsidRPr="00165D28" w:rsidRDefault="00165D28" w:rsidP="00165D28">
            <w:pPr>
              <w:jc w:val="left"/>
              <w:rPr>
                <w:rFonts w:asciiTheme="majorHAnsi" w:hAnsiTheme="majorHAnsi"/>
                <w:color w:val="FFFFFF" w:themeColor="background1"/>
              </w:rPr>
            </w:pPr>
            <w:r w:rsidRPr="00165D28">
              <w:rPr>
                <w:rFonts w:asciiTheme="majorHAnsi" w:hAnsiTheme="majorHAnsi"/>
                <w:color w:val="FFFFFF" w:themeColor="background1"/>
              </w:rPr>
              <w:t>Biodiesel Blend</w:t>
            </w:r>
          </w:p>
        </w:tc>
        <w:tc>
          <w:tcPr>
            <w:tcW w:w="1800" w:type="dxa"/>
            <w:tcBorders>
              <w:top w:val="single" w:sz="4" w:space="0" w:color="4D4D4F"/>
              <w:left w:val="single" w:sz="4" w:space="0" w:color="4D4D4F"/>
              <w:bottom w:val="single" w:sz="4" w:space="0" w:color="4D4D4F"/>
              <w:right w:val="single" w:sz="4" w:space="0" w:color="4D4D4F"/>
            </w:tcBorders>
          </w:tcPr>
          <w:p w14:paraId="2D5CBB6F" w14:textId="2C27BB45" w:rsidR="00165D28" w:rsidRPr="00165D28" w:rsidRDefault="00165D28" w:rsidP="00165D28">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themeColor="background1"/>
              </w:rPr>
            </w:pPr>
            <w:r w:rsidRPr="00165D28">
              <w:rPr>
                <w:rFonts w:asciiTheme="majorHAnsi" w:hAnsiTheme="majorHAnsi"/>
                <w:color w:val="FFFFFF" w:themeColor="background1"/>
              </w:rPr>
              <w:t>LHV</w:t>
            </w:r>
            <w:r w:rsidRPr="00165D28">
              <w:rPr>
                <w:rFonts w:asciiTheme="majorHAnsi" w:hAnsiTheme="majorHAnsi"/>
                <w:color w:val="FFFFFF" w:themeColor="background1"/>
                <w:vertAlign w:val="subscript"/>
              </w:rPr>
              <w:t>BD</w:t>
            </w:r>
            <w:r w:rsidRPr="00165D28">
              <w:rPr>
                <w:rFonts w:asciiTheme="majorHAnsi" w:hAnsiTheme="majorHAnsi"/>
                <w:color w:val="FFFFFF" w:themeColor="background1"/>
              </w:rPr>
              <w:t xml:space="preserve"> [MJ/gal]</w:t>
            </w:r>
          </w:p>
        </w:tc>
        <w:tc>
          <w:tcPr>
            <w:tcW w:w="7141" w:type="dxa"/>
            <w:gridSpan w:val="4"/>
            <w:tcBorders>
              <w:top w:val="single" w:sz="4" w:space="0" w:color="4D4D4F"/>
              <w:left w:val="single" w:sz="4" w:space="0" w:color="4D4D4F"/>
              <w:bottom w:val="single" w:sz="4" w:space="0" w:color="4D4D4F"/>
              <w:right w:val="single" w:sz="4" w:space="0" w:color="4D4D4F"/>
            </w:tcBorders>
          </w:tcPr>
          <w:p w14:paraId="03521DB1" w14:textId="6C43E240" w:rsidR="00165D28" w:rsidRPr="00165D28" w:rsidRDefault="003E599A" w:rsidP="00165D28">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themeColor="background1"/>
              </w:rPr>
            </w:pPr>
            <w:r>
              <w:rPr>
                <w:rFonts w:asciiTheme="majorHAnsi" w:hAnsiTheme="majorHAnsi"/>
                <w:color w:val="FFFFFF" w:themeColor="background1"/>
              </w:rPr>
              <w:t xml:space="preserve">2025 </w:t>
            </w:r>
            <w:r w:rsidR="0014392F">
              <w:rPr>
                <w:rFonts w:asciiTheme="majorHAnsi" w:hAnsiTheme="majorHAnsi"/>
                <w:color w:val="FFFFFF" w:themeColor="background1"/>
              </w:rPr>
              <w:t>Carbon Intensity Values</w:t>
            </w:r>
            <w:r w:rsidR="00165D28">
              <w:rPr>
                <w:rFonts w:asciiTheme="majorHAnsi" w:hAnsiTheme="majorHAnsi"/>
                <w:color w:val="FFFFFF" w:themeColor="background1"/>
              </w:rPr>
              <w:t xml:space="preserve"> </w:t>
            </w:r>
            <w:r w:rsidR="00165D28" w:rsidRPr="00165D28">
              <w:rPr>
                <w:rFonts w:asciiTheme="majorHAnsi" w:hAnsiTheme="majorHAnsi"/>
                <w:color w:val="FFFFFF" w:themeColor="background1"/>
              </w:rPr>
              <w:t>[gCO</w:t>
            </w:r>
            <w:r w:rsidR="00165D28" w:rsidRPr="00165D28">
              <w:rPr>
                <w:rFonts w:asciiTheme="majorHAnsi" w:hAnsiTheme="majorHAnsi"/>
                <w:color w:val="FFFFFF" w:themeColor="background1"/>
                <w:vertAlign w:val="subscript"/>
              </w:rPr>
              <w:t>2</w:t>
            </w:r>
            <w:r w:rsidR="00165D28" w:rsidRPr="00165D28">
              <w:rPr>
                <w:rFonts w:asciiTheme="majorHAnsi" w:hAnsiTheme="majorHAnsi"/>
                <w:color w:val="FFFFFF" w:themeColor="background1"/>
              </w:rPr>
              <w:t>e/MJ]</w:t>
            </w:r>
          </w:p>
        </w:tc>
      </w:tr>
      <w:tr w:rsidR="00165D28" w14:paraId="2FEC51A0" w14:textId="77777777" w:rsidTr="00165D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55" w:type="dxa"/>
            <w:vMerge/>
            <w:shd w:val="clear" w:color="auto" w:fill="053572" w:themeFill="text2"/>
          </w:tcPr>
          <w:p w14:paraId="2885C0AF" w14:textId="77777777" w:rsidR="00165D28" w:rsidRPr="00165D28" w:rsidRDefault="00165D28" w:rsidP="00165D28">
            <w:pPr>
              <w:jc w:val="center"/>
              <w:rPr>
                <w:rFonts w:asciiTheme="majorHAnsi" w:hAnsiTheme="majorHAnsi"/>
                <w:color w:val="FFFFFF" w:themeColor="background1"/>
              </w:rPr>
            </w:pPr>
          </w:p>
        </w:tc>
        <w:tc>
          <w:tcPr>
            <w:tcW w:w="1800" w:type="dxa"/>
            <w:shd w:val="clear" w:color="auto" w:fill="053572" w:themeFill="text2"/>
          </w:tcPr>
          <w:p w14:paraId="2E3DCD6A" w14:textId="63E0F3CB" w:rsidR="00165D28" w:rsidRPr="00165D28" w:rsidRDefault="00165D28" w:rsidP="00165D28">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olor w:val="FFFFFF" w:themeColor="background1"/>
              </w:rPr>
            </w:pPr>
            <w:r w:rsidRPr="00165D28">
              <w:rPr>
                <w:rFonts w:asciiTheme="majorHAnsi" w:hAnsiTheme="majorHAnsi"/>
                <w:color w:val="FFFFFF" w:themeColor="background1"/>
              </w:rPr>
              <w:t>All BD fuels</w:t>
            </w:r>
          </w:p>
        </w:tc>
        <w:tc>
          <w:tcPr>
            <w:tcW w:w="1785" w:type="dxa"/>
            <w:shd w:val="clear" w:color="auto" w:fill="053572" w:themeFill="text2"/>
          </w:tcPr>
          <w:p w14:paraId="13FE2EE8" w14:textId="5F14955E" w:rsidR="00165D28" w:rsidRPr="00165D28" w:rsidRDefault="00165D28" w:rsidP="00165D28">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olor w:val="FFFFFF" w:themeColor="background1"/>
              </w:rPr>
            </w:pPr>
            <w:r w:rsidRPr="00165D28">
              <w:rPr>
                <w:rFonts w:asciiTheme="majorHAnsi" w:hAnsiTheme="majorHAnsi"/>
                <w:color w:val="FFFFFF" w:themeColor="background1"/>
              </w:rPr>
              <w:t>Soybeans</w:t>
            </w:r>
          </w:p>
        </w:tc>
        <w:tc>
          <w:tcPr>
            <w:tcW w:w="1785" w:type="dxa"/>
            <w:shd w:val="clear" w:color="auto" w:fill="053572" w:themeFill="text2"/>
          </w:tcPr>
          <w:p w14:paraId="195A3421" w14:textId="7C511585" w:rsidR="00165D28" w:rsidRPr="00165D28" w:rsidRDefault="00165D28" w:rsidP="00165D28">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olor w:val="FFFFFF" w:themeColor="background1"/>
              </w:rPr>
            </w:pPr>
            <w:r w:rsidRPr="00165D28">
              <w:rPr>
                <w:rFonts w:asciiTheme="majorHAnsi" w:hAnsiTheme="majorHAnsi"/>
                <w:color w:val="FFFFFF" w:themeColor="background1"/>
              </w:rPr>
              <w:t>Canola</w:t>
            </w:r>
          </w:p>
        </w:tc>
        <w:tc>
          <w:tcPr>
            <w:tcW w:w="1785" w:type="dxa"/>
            <w:shd w:val="clear" w:color="auto" w:fill="053572" w:themeFill="text2"/>
          </w:tcPr>
          <w:p w14:paraId="348E9228" w14:textId="7D142D5F" w:rsidR="00165D28" w:rsidRPr="00165D28" w:rsidRDefault="00165D28" w:rsidP="00165D28">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olor w:val="FFFFFF" w:themeColor="background1"/>
              </w:rPr>
            </w:pPr>
            <w:r w:rsidRPr="00165D28">
              <w:rPr>
                <w:rFonts w:asciiTheme="majorHAnsi" w:hAnsiTheme="majorHAnsi"/>
                <w:color w:val="FFFFFF" w:themeColor="background1"/>
              </w:rPr>
              <w:t>Corn</w:t>
            </w:r>
          </w:p>
        </w:tc>
        <w:tc>
          <w:tcPr>
            <w:tcW w:w="1786" w:type="dxa"/>
            <w:shd w:val="clear" w:color="auto" w:fill="053572" w:themeFill="text2"/>
          </w:tcPr>
          <w:p w14:paraId="5C89DCE6" w14:textId="28D22429" w:rsidR="00165D28" w:rsidRPr="00165D28" w:rsidRDefault="00165D28" w:rsidP="00165D28">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olor w:val="FFFFFF" w:themeColor="background1"/>
              </w:rPr>
            </w:pPr>
            <w:r w:rsidRPr="00165D28">
              <w:rPr>
                <w:rFonts w:asciiTheme="majorHAnsi" w:hAnsiTheme="majorHAnsi"/>
                <w:color w:val="FFFFFF" w:themeColor="background1"/>
              </w:rPr>
              <w:t>Used Cooking Oil</w:t>
            </w:r>
          </w:p>
        </w:tc>
      </w:tr>
      <w:tr w:rsidR="00165D28" w14:paraId="3FE46369" w14:textId="77777777" w:rsidTr="00165D2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55" w:type="dxa"/>
          </w:tcPr>
          <w:p w14:paraId="18043A73" w14:textId="73E6489F" w:rsidR="00165D28" w:rsidRDefault="00165D28" w:rsidP="00165D28">
            <w:r>
              <w:t>20% Biodiesel</w:t>
            </w:r>
            <w:r w:rsidR="00E24A4F">
              <w:t xml:space="preserve"> (B2O)</w:t>
            </w:r>
          </w:p>
        </w:tc>
        <w:tc>
          <w:tcPr>
            <w:tcW w:w="1800" w:type="dxa"/>
          </w:tcPr>
          <w:p w14:paraId="754300A7" w14:textId="7D5BF36F" w:rsidR="00165D28" w:rsidRDefault="00165D28" w:rsidP="00165D28">
            <w:pPr>
              <w:jc w:val="right"/>
              <w:cnfStyle w:val="000000010000" w:firstRow="0" w:lastRow="0" w:firstColumn="0" w:lastColumn="0" w:oddVBand="0" w:evenVBand="0" w:oddHBand="0" w:evenHBand="1" w:firstRowFirstColumn="0" w:firstRowLastColumn="0" w:lastRowFirstColumn="0" w:lastRowLastColumn="0"/>
            </w:pPr>
            <w:r w:rsidRPr="00201838">
              <w:t>133.66</w:t>
            </w:r>
          </w:p>
        </w:tc>
        <w:tc>
          <w:tcPr>
            <w:tcW w:w="1785" w:type="dxa"/>
          </w:tcPr>
          <w:p w14:paraId="267CED52" w14:textId="4B96D765" w:rsidR="00165D28" w:rsidRDefault="00165D28" w:rsidP="00165D28">
            <w:pPr>
              <w:jc w:val="right"/>
              <w:cnfStyle w:val="000000010000" w:firstRow="0" w:lastRow="0" w:firstColumn="0" w:lastColumn="0" w:oddVBand="0" w:evenVBand="0" w:oddHBand="0" w:evenHBand="1" w:firstRowFirstColumn="0" w:firstRowLastColumn="0" w:lastRowFirstColumn="0" w:lastRowLastColumn="0"/>
            </w:pPr>
            <w:r w:rsidRPr="00201838">
              <w:t>72.0</w:t>
            </w:r>
          </w:p>
        </w:tc>
        <w:tc>
          <w:tcPr>
            <w:tcW w:w="1785" w:type="dxa"/>
          </w:tcPr>
          <w:p w14:paraId="21A936F0" w14:textId="74D21115" w:rsidR="00165D28" w:rsidRDefault="00165D28" w:rsidP="00165D28">
            <w:pPr>
              <w:jc w:val="right"/>
              <w:cnfStyle w:val="000000010000" w:firstRow="0" w:lastRow="0" w:firstColumn="0" w:lastColumn="0" w:oddVBand="0" w:evenVBand="0" w:oddHBand="0" w:evenHBand="1" w:firstRowFirstColumn="0" w:firstRowLastColumn="0" w:lastRowFirstColumn="0" w:lastRowLastColumn="0"/>
            </w:pPr>
            <w:r w:rsidRPr="00201838">
              <w:t>71.9</w:t>
            </w:r>
          </w:p>
        </w:tc>
        <w:tc>
          <w:tcPr>
            <w:tcW w:w="1785" w:type="dxa"/>
          </w:tcPr>
          <w:p w14:paraId="73AD47FC" w14:textId="39E65933" w:rsidR="00165D28" w:rsidRDefault="00165D28" w:rsidP="00165D28">
            <w:pPr>
              <w:jc w:val="right"/>
              <w:cnfStyle w:val="000000010000" w:firstRow="0" w:lastRow="0" w:firstColumn="0" w:lastColumn="0" w:oddVBand="0" w:evenVBand="0" w:oddHBand="0" w:evenHBand="1" w:firstRowFirstColumn="0" w:firstRowLastColumn="0" w:lastRowFirstColumn="0" w:lastRowLastColumn="0"/>
            </w:pPr>
            <w:r w:rsidRPr="00201838">
              <w:t>68.6</w:t>
            </w:r>
          </w:p>
        </w:tc>
        <w:tc>
          <w:tcPr>
            <w:tcW w:w="1786" w:type="dxa"/>
          </w:tcPr>
          <w:p w14:paraId="59AF9498" w14:textId="54F8DC0F" w:rsidR="00165D28" w:rsidRDefault="00165D28" w:rsidP="00165D28">
            <w:pPr>
              <w:jc w:val="right"/>
              <w:cnfStyle w:val="000000010000" w:firstRow="0" w:lastRow="0" w:firstColumn="0" w:lastColumn="0" w:oddVBand="0" w:evenVBand="0" w:oddHBand="0" w:evenHBand="1" w:firstRowFirstColumn="0" w:firstRowLastColumn="0" w:lastRowFirstColumn="0" w:lastRowLastColumn="0"/>
            </w:pPr>
            <w:r w:rsidRPr="00201838">
              <w:t>69.6</w:t>
            </w:r>
          </w:p>
        </w:tc>
      </w:tr>
      <w:tr w:rsidR="00165D28" w14:paraId="0E033C55" w14:textId="77777777" w:rsidTr="00165D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55" w:type="dxa"/>
          </w:tcPr>
          <w:p w14:paraId="37C684F8" w14:textId="0C48620D" w:rsidR="00165D28" w:rsidRDefault="00165D28" w:rsidP="00165D28">
            <w:r>
              <w:t>40% Biodiesel</w:t>
            </w:r>
            <w:r w:rsidR="00E24A4F">
              <w:t xml:space="preserve"> (B40)</w:t>
            </w:r>
          </w:p>
        </w:tc>
        <w:tc>
          <w:tcPr>
            <w:tcW w:w="1800" w:type="dxa"/>
          </w:tcPr>
          <w:p w14:paraId="55E7DF0E" w14:textId="6A1EFFD1" w:rsidR="00165D28" w:rsidRDefault="00165D28" w:rsidP="00165D28">
            <w:pPr>
              <w:jc w:val="right"/>
              <w:cnfStyle w:val="000000100000" w:firstRow="0" w:lastRow="0" w:firstColumn="0" w:lastColumn="0" w:oddVBand="0" w:evenVBand="0" w:oddHBand="1" w:evenHBand="0" w:firstRowFirstColumn="0" w:firstRowLastColumn="0" w:lastRowFirstColumn="0" w:lastRowLastColumn="0"/>
            </w:pPr>
            <w:r w:rsidRPr="00201838">
              <w:t>131.80</w:t>
            </w:r>
          </w:p>
        </w:tc>
        <w:tc>
          <w:tcPr>
            <w:tcW w:w="1785" w:type="dxa"/>
          </w:tcPr>
          <w:p w14:paraId="3B65086F" w14:textId="4248E2FF" w:rsidR="00165D28" w:rsidRDefault="00165D28" w:rsidP="00165D28">
            <w:pPr>
              <w:jc w:val="right"/>
              <w:cnfStyle w:val="000000100000" w:firstRow="0" w:lastRow="0" w:firstColumn="0" w:lastColumn="0" w:oddVBand="0" w:evenVBand="0" w:oddHBand="1" w:evenHBand="0" w:firstRowFirstColumn="0" w:firstRowLastColumn="0" w:lastRowFirstColumn="0" w:lastRowLastColumn="0"/>
            </w:pPr>
            <w:r w:rsidRPr="00201838">
              <w:t>60.5</w:t>
            </w:r>
          </w:p>
        </w:tc>
        <w:tc>
          <w:tcPr>
            <w:tcW w:w="1785" w:type="dxa"/>
          </w:tcPr>
          <w:p w14:paraId="2E0156D4" w14:textId="013923F6" w:rsidR="00165D28" w:rsidRDefault="00165D28" w:rsidP="00165D28">
            <w:pPr>
              <w:jc w:val="right"/>
              <w:cnfStyle w:val="000000100000" w:firstRow="0" w:lastRow="0" w:firstColumn="0" w:lastColumn="0" w:oddVBand="0" w:evenVBand="0" w:oddHBand="1" w:evenHBand="0" w:firstRowFirstColumn="0" w:firstRowLastColumn="0" w:lastRowFirstColumn="0" w:lastRowLastColumn="0"/>
            </w:pPr>
            <w:r w:rsidRPr="00201838">
              <w:t>60.3</w:t>
            </w:r>
          </w:p>
        </w:tc>
        <w:tc>
          <w:tcPr>
            <w:tcW w:w="1785" w:type="dxa"/>
          </w:tcPr>
          <w:p w14:paraId="046CC7F4" w14:textId="0825473F" w:rsidR="00165D28" w:rsidRDefault="00165D28" w:rsidP="00165D28">
            <w:pPr>
              <w:jc w:val="right"/>
              <w:cnfStyle w:val="000000100000" w:firstRow="0" w:lastRow="0" w:firstColumn="0" w:lastColumn="0" w:oddVBand="0" w:evenVBand="0" w:oddHBand="1" w:evenHBand="0" w:firstRowFirstColumn="0" w:firstRowLastColumn="0" w:lastRowFirstColumn="0" w:lastRowLastColumn="0"/>
            </w:pPr>
            <w:r w:rsidRPr="00201838">
              <w:t>53.8</w:t>
            </w:r>
          </w:p>
        </w:tc>
        <w:tc>
          <w:tcPr>
            <w:tcW w:w="1786" w:type="dxa"/>
          </w:tcPr>
          <w:p w14:paraId="5C3F9350" w14:textId="192AFC2E" w:rsidR="00165D28" w:rsidRDefault="00165D28" w:rsidP="00165D28">
            <w:pPr>
              <w:jc w:val="right"/>
              <w:cnfStyle w:val="000000100000" w:firstRow="0" w:lastRow="0" w:firstColumn="0" w:lastColumn="0" w:oddVBand="0" w:evenVBand="0" w:oddHBand="1" w:evenHBand="0" w:firstRowFirstColumn="0" w:firstRowLastColumn="0" w:lastRowFirstColumn="0" w:lastRowLastColumn="0"/>
            </w:pPr>
            <w:r w:rsidRPr="00201838">
              <w:t>55.8</w:t>
            </w:r>
          </w:p>
        </w:tc>
      </w:tr>
      <w:tr w:rsidR="00165D28" w14:paraId="4A855AF9" w14:textId="77777777" w:rsidTr="00165D2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55" w:type="dxa"/>
          </w:tcPr>
          <w:p w14:paraId="2D2E3B4F" w14:textId="372A96A7" w:rsidR="00165D28" w:rsidRDefault="00165D28" w:rsidP="00165D28">
            <w:r>
              <w:t>60% Biodiesel</w:t>
            </w:r>
            <w:r w:rsidR="00E24A4F">
              <w:t xml:space="preserve"> (B60)</w:t>
            </w:r>
          </w:p>
        </w:tc>
        <w:tc>
          <w:tcPr>
            <w:tcW w:w="1800" w:type="dxa"/>
          </w:tcPr>
          <w:p w14:paraId="61A6028A" w14:textId="211929D9" w:rsidR="00165D28" w:rsidRDefault="00165D28" w:rsidP="00165D28">
            <w:pPr>
              <w:jc w:val="right"/>
              <w:cnfStyle w:val="000000010000" w:firstRow="0" w:lastRow="0" w:firstColumn="0" w:lastColumn="0" w:oddVBand="0" w:evenVBand="0" w:oddHBand="0" w:evenHBand="1" w:firstRowFirstColumn="0" w:firstRowLastColumn="0" w:lastRowFirstColumn="0" w:lastRowLastColumn="0"/>
            </w:pPr>
            <w:r w:rsidRPr="00201838">
              <w:t>129.93</w:t>
            </w:r>
          </w:p>
        </w:tc>
        <w:tc>
          <w:tcPr>
            <w:tcW w:w="1785" w:type="dxa"/>
          </w:tcPr>
          <w:p w14:paraId="38BC54DB" w14:textId="5D671D58" w:rsidR="00165D28" w:rsidRDefault="00165D28" w:rsidP="00165D28">
            <w:pPr>
              <w:jc w:val="right"/>
              <w:cnfStyle w:val="000000010000" w:firstRow="0" w:lastRow="0" w:firstColumn="0" w:lastColumn="0" w:oddVBand="0" w:evenVBand="0" w:oddHBand="0" w:evenHBand="1" w:firstRowFirstColumn="0" w:firstRowLastColumn="0" w:lastRowFirstColumn="0" w:lastRowLastColumn="0"/>
            </w:pPr>
            <w:r w:rsidRPr="00201838">
              <w:t>49.0</w:t>
            </w:r>
          </w:p>
        </w:tc>
        <w:tc>
          <w:tcPr>
            <w:tcW w:w="1785" w:type="dxa"/>
          </w:tcPr>
          <w:p w14:paraId="2C101E8A" w14:textId="57DDA14E" w:rsidR="00165D28" w:rsidRDefault="00165D28" w:rsidP="00165D28">
            <w:pPr>
              <w:jc w:val="right"/>
              <w:cnfStyle w:val="000000010000" w:firstRow="0" w:lastRow="0" w:firstColumn="0" w:lastColumn="0" w:oddVBand="0" w:evenVBand="0" w:oddHBand="0" w:evenHBand="1" w:firstRowFirstColumn="0" w:firstRowLastColumn="0" w:lastRowFirstColumn="0" w:lastRowLastColumn="0"/>
            </w:pPr>
            <w:r w:rsidRPr="00201838">
              <w:t>48.7</w:t>
            </w:r>
          </w:p>
        </w:tc>
        <w:tc>
          <w:tcPr>
            <w:tcW w:w="1785" w:type="dxa"/>
          </w:tcPr>
          <w:p w14:paraId="01706AD4" w14:textId="6C8217E2" w:rsidR="00165D28" w:rsidRDefault="00165D28" w:rsidP="00165D28">
            <w:pPr>
              <w:jc w:val="right"/>
              <w:cnfStyle w:val="000000010000" w:firstRow="0" w:lastRow="0" w:firstColumn="0" w:lastColumn="0" w:oddVBand="0" w:evenVBand="0" w:oddHBand="0" w:evenHBand="1" w:firstRowFirstColumn="0" w:firstRowLastColumn="0" w:lastRowFirstColumn="0" w:lastRowLastColumn="0"/>
            </w:pPr>
            <w:r w:rsidRPr="00201838">
              <w:t>39.0</w:t>
            </w:r>
          </w:p>
        </w:tc>
        <w:tc>
          <w:tcPr>
            <w:tcW w:w="1786" w:type="dxa"/>
          </w:tcPr>
          <w:p w14:paraId="50BF008F" w14:textId="55DB1E2E" w:rsidR="00165D28" w:rsidRDefault="00165D28" w:rsidP="00165D28">
            <w:pPr>
              <w:jc w:val="right"/>
              <w:cnfStyle w:val="000000010000" w:firstRow="0" w:lastRow="0" w:firstColumn="0" w:lastColumn="0" w:oddVBand="0" w:evenVBand="0" w:oddHBand="0" w:evenHBand="1" w:firstRowFirstColumn="0" w:firstRowLastColumn="0" w:lastRowFirstColumn="0" w:lastRowLastColumn="0"/>
            </w:pPr>
            <w:r w:rsidRPr="00201838">
              <w:t>42.0</w:t>
            </w:r>
          </w:p>
        </w:tc>
      </w:tr>
      <w:tr w:rsidR="00165D28" w14:paraId="035EB989" w14:textId="77777777" w:rsidTr="00165D2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55" w:type="dxa"/>
          </w:tcPr>
          <w:p w14:paraId="78FFCC68" w14:textId="14CCA8BB" w:rsidR="00165D28" w:rsidRDefault="00165D28" w:rsidP="00165D28">
            <w:r>
              <w:t>80% Biodiesel</w:t>
            </w:r>
            <w:r w:rsidR="00E24A4F">
              <w:t xml:space="preserve"> (B80)</w:t>
            </w:r>
          </w:p>
        </w:tc>
        <w:tc>
          <w:tcPr>
            <w:tcW w:w="1800" w:type="dxa"/>
          </w:tcPr>
          <w:p w14:paraId="0851BCB4" w14:textId="5221A5E6" w:rsidR="00165D28" w:rsidRDefault="00165D28" w:rsidP="00165D28">
            <w:pPr>
              <w:jc w:val="right"/>
              <w:cnfStyle w:val="000000100000" w:firstRow="0" w:lastRow="0" w:firstColumn="0" w:lastColumn="0" w:oddVBand="0" w:evenVBand="0" w:oddHBand="1" w:evenHBand="0" w:firstRowFirstColumn="0" w:firstRowLastColumn="0" w:lastRowFirstColumn="0" w:lastRowLastColumn="0"/>
            </w:pPr>
            <w:r w:rsidRPr="00201838">
              <w:t>128.07</w:t>
            </w:r>
          </w:p>
        </w:tc>
        <w:tc>
          <w:tcPr>
            <w:tcW w:w="1785" w:type="dxa"/>
          </w:tcPr>
          <w:p w14:paraId="42C0EFE0" w14:textId="6FE64490" w:rsidR="00165D28" w:rsidRDefault="00165D28" w:rsidP="00165D28">
            <w:pPr>
              <w:jc w:val="right"/>
              <w:cnfStyle w:val="000000100000" w:firstRow="0" w:lastRow="0" w:firstColumn="0" w:lastColumn="0" w:oddVBand="0" w:evenVBand="0" w:oddHBand="1" w:evenHBand="0" w:firstRowFirstColumn="0" w:firstRowLastColumn="0" w:lastRowFirstColumn="0" w:lastRowLastColumn="0"/>
            </w:pPr>
            <w:r w:rsidRPr="00201838">
              <w:t>37.5</w:t>
            </w:r>
          </w:p>
        </w:tc>
        <w:tc>
          <w:tcPr>
            <w:tcW w:w="1785" w:type="dxa"/>
          </w:tcPr>
          <w:p w14:paraId="7EBF3DD6" w14:textId="6FE14A9C" w:rsidR="00165D28" w:rsidRDefault="00165D28" w:rsidP="00165D28">
            <w:pPr>
              <w:jc w:val="right"/>
              <w:cnfStyle w:val="000000100000" w:firstRow="0" w:lastRow="0" w:firstColumn="0" w:lastColumn="0" w:oddVBand="0" w:evenVBand="0" w:oddHBand="1" w:evenHBand="0" w:firstRowFirstColumn="0" w:firstRowLastColumn="0" w:lastRowFirstColumn="0" w:lastRowLastColumn="0"/>
            </w:pPr>
            <w:r w:rsidRPr="00201838">
              <w:t>37.1</w:t>
            </w:r>
          </w:p>
        </w:tc>
        <w:tc>
          <w:tcPr>
            <w:tcW w:w="1785" w:type="dxa"/>
          </w:tcPr>
          <w:p w14:paraId="09B4364D" w14:textId="30F83E14" w:rsidR="00165D28" w:rsidRDefault="00165D28" w:rsidP="00165D28">
            <w:pPr>
              <w:jc w:val="right"/>
              <w:cnfStyle w:val="000000100000" w:firstRow="0" w:lastRow="0" w:firstColumn="0" w:lastColumn="0" w:oddVBand="0" w:evenVBand="0" w:oddHBand="1" w:evenHBand="0" w:firstRowFirstColumn="0" w:firstRowLastColumn="0" w:lastRowFirstColumn="0" w:lastRowLastColumn="0"/>
            </w:pPr>
            <w:r w:rsidRPr="00201838">
              <w:t>24.2</w:t>
            </w:r>
          </w:p>
        </w:tc>
        <w:tc>
          <w:tcPr>
            <w:tcW w:w="1786" w:type="dxa"/>
          </w:tcPr>
          <w:p w14:paraId="6193EFAD" w14:textId="3E726566" w:rsidR="00165D28" w:rsidRDefault="00165D28" w:rsidP="00165D28">
            <w:pPr>
              <w:jc w:val="right"/>
              <w:cnfStyle w:val="000000100000" w:firstRow="0" w:lastRow="0" w:firstColumn="0" w:lastColumn="0" w:oddVBand="0" w:evenVBand="0" w:oddHBand="1" w:evenHBand="0" w:firstRowFirstColumn="0" w:firstRowLastColumn="0" w:lastRowFirstColumn="0" w:lastRowLastColumn="0"/>
            </w:pPr>
            <w:r w:rsidRPr="00201838">
              <w:t>28.1</w:t>
            </w:r>
          </w:p>
        </w:tc>
      </w:tr>
      <w:tr w:rsidR="00165D28" w14:paraId="7A727D5D" w14:textId="77777777" w:rsidTr="00165D28">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55" w:type="dxa"/>
          </w:tcPr>
          <w:p w14:paraId="64006FA5" w14:textId="77777777" w:rsidR="00165D28" w:rsidRDefault="00165D28" w:rsidP="00165D28">
            <w:r>
              <w:t>100% Biodiesel (B100)</w:t>
            </w:r>
          </w:p>
        </w:tc>
        <w:tc>
          <w:tcPr>
            <w:tcW w:w="1800" w:type="dxa"/>
          </w:tcPr>
          <w:p w14:paraId="7FC7F397" w14:textId="45A8D59E" w:rsidR="00165D28" w:rsidRDefault="00165D28" w:rsidP="00165D28">
            <w:pPr>
              <w:jc w:val="right"/>
              <w:cnfStyle w:val="000000010000" w:firstRow="0" w:lastRow="0" w:firstColumn="0" w:lastColumn="0" w:oddVBand="0" w:evenVBand="0" w:oddHBand="0" w:evenHBand="1" w:firstRowFirstColumn="0" w:firstRowLastColumn="0" w:lastRowFirstColumn="0" w:lastRowLastColumn="0"/>
            </w:pPr>
            <w:r w:rsidRPr="00201838">
              <w:t>126.21</w:t>
            </w:r>
          </w:p>
        </w:tc>
        <w:tc>
          <w:tcPr>
            <w:tcW w:w="1785" w:type="dxa"/>
          </w:tcPr>
          <w:p w14:paraId="34D8E237" w14:textId="7917E6E3" w:rsidR="00165D28" w:rsidRDefault="00165D28" w:rsidP="00165D28">
            <w:pPr>
              <w:jc w:val="right"/>
              <w:cnfStyle w:val="000000010000" w:firstRow="0" w:lastRow="0" w:firstColumn="0" w:lastColumn="0" w:oddVBand="0" w:evenVBand="0" w:oddHBand="0" w:evenHBand="1" w:firstRowFirstColumn="0" w:firstRowLastColumn="0" w:lastRowFirstColumn="0" w:lastRowLastColumn="0"/>
            </w:pPr>
            <w:r w:rsidRPr="00201838">
              <w:t>25.9</w:t>
            </w:r>
          </w:p>
        </w:tc>
        <w:tc>
          <w:tcPr>
            <w:tcW w:w="1785" w:type="dxa"/>
          </w:tcPr>
          <w:p w14:paraId="7F6B2348" w14:textId="25018029" w:rsidR="00165D28" w:rsidRDefault="00165D28" w:rsidP="00165D28">
            <w:pPr>
              <w:jc w:val="right"/>
              <w:cnfStyle w:val="000000010000" w:firstRow="0" w:lastRow="0" w:firstColumn="0" w:lastColumn="0" w:oddVBand="0" w:evenVBand="0" w:oddHBand="0" w:evenHBand="1" w:firstRowFirstColumn="0" w:firstRowLastColumn="0" w:lastRowFirstColumn="0" w:lastRowLastColumn="0"/>
            </w:pPr>
            <w:r w:rsidRPr="00201838">
              <w:t>25.5</w:t>
            </w:r>
          </w:p>
        </w:tc>
        <w:tc>
          <w:tcPr>
            <w:tcW w:w="1785" w:type="dxa"/>
          </w:tcPr>
          <w:p w14:paraId="4C35700D" w14:textId="459E7BBD" w:rsidR="00165D28" w:rsidRDefault="00165D28" w:rsidP="00165D28">
            <w:pPr>
              <w:jc w:val="right"/>
              <w:cnfStyle w:val="000000010000" w:firstRow="0" w:lastRow="0" w:firstColumn="0" w:lastColumn="0" w:oddVBand="0" w:evenVBand="0" w:oddHBand="0" w:evenHBand="1" w:firstRowFirstColumn="0" w:firstRowLastColumn="0" w:lastRowFirstColumn="0" w:lastRowLastColumn="0"/>
            </w:pPr>
            <w:r w:rsidRPr="00201838">
              <w:t>9.3</w:t>
            </w:r>
          </w:p>
        </w:tc>
        <w:tc>
          <w:tcPr>
            <w:tcW w:w="1786" w:type="dxa"/>
          </w:tcPr>
          <w:p w14:paraId="391875F8" w14:textId="6BFDC924" w:rsidR="00165D28" w:rsidRDefault="00165D28" w:rsidP="00165D28">
            <w:pPr>
              <w:jc w:val="right"/>
              <w:cnfStyle w:val="000000010000" w:firstRow="0" w:lastRow="0" w:firstColumn="0" w:lastColumn="0" w:oddVBand="0" w:evenVBand="0" w:oddHBand="0" w:evenHBand="1" w:firstRowFirstColumn="0" w:firstRowLastColumn="0" w:lastRowFirstColumn="0" w:lastRowLastColumn="0"/>
            </w:pPr>
            <w:r w:rsidRPr="00201838">
              <w:t>14.3</w:t>
            </w:r>
          </w:p>
        </w:tc>
      </w:tr>
    </w:tbl>
    <w:p w14:paraId="43ECB132" w14:textId="77777777" w:rsidR="005F206F" w:rsidRPr="005F206F" w:rsidRDefault="005F206F" w:rsidP="005742EA">
      <w:pPr>
        <w:ind w:left="1440"/>
      </w:pPr>
    </w:p>
    <w:p w14:paraId="3D009AD9" w14:textId="77777777" w:rsidR="005742EA" w:rsidRDefault="005742EA" w:rsidP="00427501">
      <w:pPr>
        <w:keepNext/>
        <w:keepLines/>
        <w:ind w:firstLine="720"/>
        <w:rPr>
          <w:b/>
          <w:bCs/>
        </w:rPr>
      </w:pPr>
      <w:r w:rsidRPr="003643D2">
        <w:rPr>
          <w:b/>
          <w:bCs/>
        </w:rPr>
        <w:t>Measure Life</w:t>
      </w:r>
    </w:p>
    <w:p w14:paraId="22F8065E" w14:textId="4736B865" w:rsidR="00525B2C" w:rsidRDefault="00525B2C" w:rsidP="00525B2C">
      <w:pPr>
        <w:ind w:left="1440"/>
      </w:pPr>
      <w:r>
        <w:t>Biodiesel as a clean heat measure is not subject to a measure life, as the measure characterization is based on the volume of biodiesel that is delivered to an end-user and used in the thermal sector.</w:t>
      </w:r>
    </w:p>
    <w:p w14:paraId="312D2DE0" w14:textId="77777777" w:rsidR="005742EA" w:rsidRDefault="005742EA" w:rsidP="005742EA">
      <w:pPr>
        <w:ind w:firstLine="720"/>
        <w:rPr>
          <w:b/>
          <w:bCs/>
        </w:rPr>
      </w:pPr>
      <w:r w:rsidRPr="003643D2">
        <w:rPr>
          <w:b/>
          <w:bCs/>
        </w:rPr>
        <w:lastRenderedPageBreak/>
        <w:t>Measure Cost</w:t>
      </w:r>
    </w:p>
    <w:p w14:paraId="736E7935" w14:textId="353FC309" w:rsidR="00525B2C" w:rsidRDefault="00525B2C" w:rsidP="00525B2C">
      <w:pPr>
        <w:ind w:left="1440"/>
      </w:pPr>
      <w:r>
        <w:t>The incremental cost of biodiesel over fuel oil #2. Use actual costs.</w:t>
      </w:r>
    </w:p>
    <w:p w14:paraId="244E7390" w14:textId="77777777" w:rsidR="005742EA" w:rsidRDefault="005742EA" w:rsidP="005742EA">
      <w:pPr>
        <w:pStyle w:val="Heading4"/>
      </w:pPr>
      <w:r>
        <w:t>Program Data Tracking Recommendations</w:t>
      </w:r>
    </w:p>
    <w:p w14:paraId="46B68C68" w14:textId="77777777" w:rsidR="005742EA" w:rsidRDefault="005742EA" w:rsidP="00525B2C">
      <w:r>
        <w:t>The key input variables for this measure are the following:</w:t>
      </w:r>
    </w:p>
    <w:p w14:paraId="64355D00" w14:textId="77CF62EB" w:rsidR="005742EA" w:rsidRDefault="005742EA" w:rsidP="00525B2C">
      <w:pPr>
        <w:pStyle w:val="ListBullet"/>
      </w:pPr>
      <w:r>
        <w:t xml:space="preserve">Volume of delivered </w:t>
      </w:r>
      <w:r w:rsidR="00525B2C">
        <w:t>biodiesel</w:t>
      </w:r>
      <w:r>
        <w:t xml:space="preserve"> to the end</w:t>
      </w:r>
      <w:r w:rsidR="00525B2C">
        <w:t>-</w:t>
      </w:r>
      <w:r>
        <w:t>user</w:t>
      </w:r>
    </w:p>
    <w:p w14:paraId="0EFFAA85" w14:textId="01380409" w:rsidR="00525B2C" w:rsidRDefault="00525B2C" w:rsidP="00525B2C">
      <w:pPr>
        <w:pStyle w:val="ListBullet"/>
      </w:pPr>
      <w:r>
        <w:t>Share of delivered biodiesel that is used in the thermal sector</w:t>
      </w:r>
    </w:p>
    <w:p w14:paraId="52F24659" w14:textId="77777777" w:rsidR="005742EA" w:rsidRDefault="005742EA" w:rsidP="005742EA">
      <w:pPr>
        <w:pStyle w:val="Heading4"/>
      </w:pPr>
      <w:r>
        <w:t xml:space="preserve">Energy Codes and </w:t>
      </w:r>
      <w:r w:rsidRPr="00C36178">
        <w:t>Standards</w:t>
      </w:r>
    </w:p>
    <w:p w14:paraId="33819CD3" w14:textId="6F2B873A" w:rsidR="005742EA" w:rsidRDefault="005742EA" w:rsidP="005742EA">
      <w:r>
        <w:t>None.</w:t>
      </w:r>
    </w:p>
    <w:p w14:paraId="7A8B87E3" w14:textId="6A44F244" w:rsidR="00416C7A" w:rsidRDefault="00416C7A" w:rsidP="002203CC">
      <w:pPr>
        <w:pStyle w:val="Heading3"/>
      </w:pPr>
      <w:r>
        <w:t>Renewable Diesel</w:t>
      </w:r>
    </w:p>
    <w:p w14:paraId="55E9052D" w14:textId="77777777" w:rsidR="00416C7A" w:rsidRPr="00FC7A76" w:rsidRDefault="00416C7A" w:rsidP="00416C7A">
      <w:pPr>
        <w:spacing w:after="0"/>
        <w:ind w:left="1080"/>
      </w:pPr>
      <w:r w:rsidRPr="00394B33">
        <w:rPr>
          <w:b/>
          <w:bCs/>
        </w:rPr>
        <w:t xml:space="preserve">CHS Measure ID: </w:t>
      </w:r>
      <w:r>
        <w:t>ALL_FUEL_RD</w:t>
      </w:r>
    </w:p>
    <w:p w14:paraId="677876F9" w14:textId="77777777" w:rsidR="00416C7A" w:rsidRDefault="00416C7A" w:rsidP="00416C7A">
      <w:pPr>
        <w:spacing w:after="0"/>
        <w:ind w:left="1080"/>
        <w:rPr>
          <w:b/>
          <w:bCs/>
        </w:rPr>
      </w:pPr>
      <w:r>
        <w:rPr>
          <w:b/>
          <w:bCs/>
        </w:rPr>
        <w:t xml:space="preserve">Market Sector: </w:t>
      </w:r>
      <w:r>
        <w:t>All</w:t>
      </w:r>
    </w:p>
    <w:p w14:paraId="13791051" w14:textId="77777777" w:rsidR="00416C7A" w:rsidRPr="0016490D" w:rsidRDefault="00416C7A" w:rsidP="00416C7A">
      <w:pPr>
        <w:spacing w:after="0"/>
        <w:ind w:left="1080"/>
      </w:pPr>
      <w:r>
        <w:rPr>
          <w:b/>
          <w:bCs/>
        </w:rPr>
        <w:t xml:space="preserve">End Use: </w:t>
      </w:r>
      <w:r w:rsidRPr="00BE2E62">
        <w:t>Alternative Fuels</w:t>
      </w:r>
      <w:r>
        <w:t xml:space="preserve"> </w:t>
      </w:r>
    </w:p>
    <w:p w14:paraId="2673AF72" w14:textId="77777777" w:rsidR="00416C7A" w:rsidRPr="003F16E4" w:rsidRDefault="00416C7A" w:rsidP="00416C7A">
      <w:pPr>
        <w:spacing w:after="0"/>
        <w:ind w:left="1080"/>
      </w:pPr>
      <w:r>
        <w:rPr>
          <w:b/>
          <w:bCs/>
        </w:rPr>
        <w:t xml:space="preserve">Applicable Building Types: </w:t>
      </w:r>
      <w:r>
        <w:t>All</w:t>
      </w:r>
    </w:p>
    <w:p w14:paraId="3F1E6ED9" w14:textId="77777777" w:rsidR="00416C7A" w:rsidRDefault="00416C7A" w:rsidP="00416C7A">
      <w:pPr>
        <w:spacing w:after="0"/>
        <w:ind w:left="360" w:firstLine="720"/>
      </w:pPr>
      <w:r>
        <w:rPr>
          <w:b/>
          <w:bCs/>
        </w:rPr>
        <w:t xml:space="preserve">Decarbonization Pathways: </w:t>
      </w:r>
      <w:r w:rsidRPr="00BE2E62">
        <w:t>Alternative Fuels</w:t>
      </w:r>
    </w:p>
    <w:p w14:paraId="0D8F4AC9" w14:textId="5881BFC6" w:rsidR="00416C7A" w:rsidRPr="00963504" w:rsidRDefault="00416C7A" w:rsidP="00416C7A">
      <w:pPr>
        <w:spacing w:after="0"/>
        <w:ind w:left="1080"/>
      </w:pPr>
      <w:r>
        <w:rPr>
          <w:b/>
          <w:bCs/>
        </w:rPr>
        <w:t xml:space="preserve">Applicable Feedstocks: </w:t>
      </w:r>
      <w:r>
        <w:t>Soybeans, canola, corn, and used cooking oil</w:t>
      </w:r>
    </w:p>
    <w:p w14:paraId="4D34AD3A" w14:textId="77777777" w:rsidR="00416C7A" w:rsidRDefault="00416C7A" w:rsidP="00416C7A">
      <w:pPr>
        <w:pStyle w:val="Heading4"/>
      </w:pPr>
      <w:r>
        <w:t>Measure Description</w:t>
      </w:r>
    </w:p>
    <w:p w14:paraId="308BEC11" w14:textId="6F32C5F9" w:rsidR="00612AFE" w:rsidRDefault="00416C7A" w:rsidP="00416C7A">
      <w:pPr>
        <w:ind w:left="720"/>
      </w:pPr>
      <w:r>
        <w:t>This measure involves the replacement of fuel oil #2</w:t>
      </w:r>
      <w:r w:rsidR="003309E0">
        <w:t xml:space="preserve"> used in the thermal sector</w:t>
      </w:r>
      <w:r>
        <w:t xml:space="preserve"> with renewable diesel.</w:t>
      </w:r>
      <w:r w:rsidR="00FF3FAB">
        <w:t xml:space="preserve"> Renewable diesel is a liquid renewable fuel manufactured from biological feedstocks such as vegetable oils</w:t>
      </w:r>
      <w:r w:rsidR="00612AFE">
        <w:t xml:space="preserve"> through any one of a number of different technology pathways</w:t>
      </w:r>
      <w:r w:rsidR="00FF3FAB">
        <w:t>.</w:t>
      </w:r>
      <w:r w:rsidR="00FF3FAB">
        <w:rPr>
          <w:rStyle w:val="FootnoteReference"/>
        </w:rPr>
        <w:footnoteReference w:id="8"/>
      </w:r>
      <w:r w:rsidR="00FF3FAB">
        <w:t xml:space="preserve"> Renewable diesel is distinct from biodiesel and is chemically similar (though not identical)</w:t>
      </w:r>
      <w:r w:rsidRPr="00416C7A">
        <w:t xml:space="preserve"> </w:t>
      </w:r>
      <w:r w:rsidR="00FF3FAB">
        <w:t>to fuel oil #2</w:t>
      </w:r>
      <w:r w:rsidR="00612AFE">
        <w:t>; renewable diesel is generally considered to be fully interchangeable with fuel oil #2,</w:t>
      </w:r>
      <w:r w:rsidR="00612AFE">
        <w:rPr>
          <w:rStyle w:val="FootnoteReference"/>
        </w:rPr>
        <w:footnoteReference w:id="9"/>
      </w:r>
      <w:r w:rsidR="00FF3FAB">
        <w:t xml:space="preserve"> </w:t>
      </w:r>
      <w:r w:rsidR="00612AFE">
        <w:t>and this measure assumes that renewable diesel is used as a drop-in replacement for an existing thermal use of fuel oil #2.</w:t>
      </w:r>
    </w:p>
    <w:p w14:paraId="78E66A5A" w14:textId="1B4E93E1" w:rsidR="00416C7A" w:rsidRDefault="00165D28" w:rsidP="00416C7A">
      <w:pPr>
        <w:ind w:left="720"/>
      </w:pPr>
      <w:r>
        <w:t>T</w:t>
      </w:r>
      <w:r w:rsidR="00416C7A">
        <w:t>he measure characterizes four distinct pathways</w:t>
      </w:r>
      <w:r w:rsidR="003309E0">
        <w:t xml:space="preserve"> </w:t>
      </w:r>
      <w:proofErr w:type="gramStart"/>
      <w:r w:rsidR="003309E0">
        <w:t>for the production of</w:t>
      </w:r>
      <w:proofErr w:type="gramEnd"/>
      <w:r w:rsidR="003309E0">
        <w:t xml:space="preserve"> renewable diesel</w:t>
      </w:r>
      <w:r w:rsidR="00416C7A">
        <w:t>: three pathways for renewable diesel from purpose-grown crops (</w:t>
      </w:r>
      <w:r w:rsidR="004B7081">
        <w:t>soybeans, canola, and corn) as well as one renewable diesel pathway from a waste product (</w:t>
      </w:r>
      <w:r w:rsidR="00416C7A">
        <w:t>used cooking oil</w:t>
      </w:r>
      <w:r w:rsidR="004B7081">
        <w:t xml:space="preserve">). </w:t>
      </w:r>
      <w:r w:rsidR="00416C7A">
        <w:t xml:space="preserve">Greenhouse gas reductions </w:t>
      </w:r>
      <w:r w:rsidR="004B7081">
        <w:t xml:space="preserve">associated with this measure are derived </w:t>
      </w:r>
      <w:r w:rsidR="00416C7A">
        <w:t>from the difference in lifecycle emission intensities (gCO</w:t>
      </w:r>
      <w:r w:rsidR="00416C7A" w:rsidRPr="00165D28">
        <w:rPr>
          <w:vertAlign w:val="subscript"/>
        </w:rPr>
        <w:t>2</w:t>
      </w:r>
      <w:r w:rsidR="00416C7A">
        <w:t xml:space="preserve">e/MJ) between </w:t>
      </w:r>
      <w:r w:rsidR="004B7081">
        <w:t>fuel oil #2 and renewable diesel</w:t>
      </w:r>
      <w:r w:rsidR="00416C7A">
        <w:t>.</w:t>
      </w:r>
    </w:p>
    <w:p w14:paraId="3A8AE832" w14:textId="77777777" w:rsidR="00416C7A" w:rsidRDefault="00416C7A" w:rsidP="00427501">
      <w:pPr>
        <w:keepNext/>
        <w:keepLines/>
        <w:ind w:firstLine="720"/>
        <w:rPr>
          <w:b/>
          <w:bCs/>
        </w:rPr>
      </w:pPr>
      <w:r>
        <w:rPr>
          <w:b/>
          <w:bCs/>
        </w:rPr>
        <w:lastRenderedPageBreak/>
        <w:t>Baseline Conditions</w:t>
      </w:r>
    </w:p>
    <w:p w14:paraId="290F17B5" w14:textId="576A8DB2" w:rsidR="004B7081" w:rsidRDefault="004B7081" w:rsidP="004B7081">
      <w:pPr>
        <w:ind w:left="720"/>
      </w:pPr>
      <w:r>
        <w:t xml:space="preserve">The baseline condition is the use of fuel oil #2 in the thermal sector that is distributed to end users through a truck delivery service. </w:t>
      </w:r>
    </w:p>
    <w:p w14:paraId="11692898" w14:textId="77777777" w:rsidR="00416C7A" w:rsidRDefault="00416C7A" w:rsidP="00416C7A">
      <w:pPr>
        <w:ind w:firstLine="720"/>
        <w:rPr>
          <w:b/>
          <w:bCs/>
        </w:rPr>
      </w:pPr>
      <w:r>
        <w:rPr>
          <w:b/>
          <w:bCs/>
        </w:rPr>
        <w:t>Proposed Conditions</w:t>
      </w:r>
    </w:p>
    <w:p w14:paraId="59AF6644" w14:textId="4714C884" w:rsidR="004B7081" w:rsidRDefault="004B7081" w:rsidP="004B7081">
      <w:pPr>
        <w:ind w:left="720"/>
      </w:pPr>
      <w:r>
        <w:t>The proposed condition is the use of renewable diesel in the thermal sector that is distributed to end users through a truck delivery service. Renewable diesel production pathways (and ther</w:t>
      </w:r>
      <w:r w:rsidR="00DD134A">
        <w:t>ef</w:t>
      </w:r>
      <w:r>
        <w:t xml:space="preserve">ore carbon intensity values) include farming activities, crop applications (e.g., pesticides, herbicides, and fertilizers), feedstock collection, fuel production, and transport of fuels to distributors. The production pathways exclude impacts relating to land use changes and the biogenic carbon cycle. </w:t>
      </w:r>
      <w:bookmarkStart w:id="30" w:name="_Hlk176253278"/>
      <w:r>
        <w:t>Emissions resulting from the distribution of fuels from the distributor to the end user are presumed equal between the proposed and baseline conditions since truck delivery is assumed in both.</w:t>
      </w:r>
      <w:bookmarkEnd w:id="30"/>
    </w:p>
    <w:p w14:paraId="5FC3C968" w14:textId="05CBD00F" w:rsidR="00416C7A" w:rsidRDefault="00416C7A" w:rsidP="00416C7A">
      <w:pPr>
        <w:pStyle w:val="Heading4"/>
      </w:pPr>
      <w:r>
        <w:t>Eligibility Criteria</w:t>
      </w:r>
    </w:p>
    <w:p w14:paraId="60E14439" w14:textId="69A062CC" w:rsidR="004B7081" w:rsidRDefault="004B7081" w:rsidP="004B7081">
      <w:r>
        <w:t>This measure characterizes renewable diesel used in the thermal sector under a certain set of conditions. Specifically:</w:t>
      </w:r>
    </w:p>
    <w:p w14:paraId="3D031BFE" w14:textId="41AC8ECC" w:rsidR="004B7081" w:rsidRDefault="004B7081" w:rsidP="004B7081">
      <w:pPr>
        <w:pStyle w:val="ListBullet"/>
      </w:pPr>
      <w:r>
        <w:t xml:space="preserve">Renewable diesel carbon intensity values are characterized for production pathways that reside within the continental United States. Finished renewable diesel or feedstocks used in production of renewable diesel that are imported from outside the continental United States are not eligible for this measure. </w:t>
      </w:r>
    </w:p>
    <w:p w14:paraId="3B55BE95" w14:textId="6B629AE9" w:rsidR="004B7081" w:rsidRDefault="004B7081" w:rsidP="004B7081">
      <w:pPr>
        <w:pStyle w:val="ListBullet"/>
      </w:pPr>
      <w:r>
        <w:t>Renewable diesel feedstocks not listed as one of the characterized pathways are not eligible for this measure.</w:t>
      </w:r>
    </w:p>
    <w:p w14:paraId="637D35C4" w14:textId="10ADBEB1" w:rsidR="004B7081" w:rsidRDefault="004B7081" w:rsidP="004B7081">
      <w:pPr>
        <w:pStyle w:val="ListBullet"/>
      </w:pPr>
      <w:r>
        <w:t>For renewable diesel to be eligible for this measure, it must be distributed to an end user through a truck delivery service. Renewable diesel distributed through other channels is not eligible for this measure.</w:t>
      </w:r>
    </w:p>
    <w:p w14:paraId="55847FA9" w14:textId="11C265EA" w:rsidR="004B7081" w:rsidRDefault="004B7081" w:rsidP="004B7081">
      <w:r>
        <w:t>Certain uses of renewable diesel are not eligible for clean heat credits:</w:t>
      </w:r>
    </w:p>
    <w:p w14:paraId="57225FF8" w14:textId="01295CE4" w:rsidR="004B7081" w:rsidRDefault="004B7081" w:rsidP="004B7081">
      <w:pPr>
        <w:pStyle w:val="ListBullet"/>
      </w:pPr>
      <w:r>
        <w:t xml:space="preserve">Renewable diesel used for electrical generation is not eligible. </w:t>
      </w:r>
    </w:p>
    <w:p w14:paraId="5CC8844F" w14:textId="61BAB4C3" w:rsidR="004B7081" w:rsidRDefault="004B7081" w:rsidP="004B7081">
      <w:pPr>
        <w:pStyle w:val="ListBullet"/>
      </w:pPr>
      <w:r>
        <w:t>Renewable diesel distributed to an industrial facility should be verified as being used in process or space heating. Renewable diesel used as a material feedstock in production of a good or otherwise not used as a heating fuel is ineligible for this measure.</w:t>
      </w:r>
    </w:p>
    <w:p w14:paraId="3955AC25" w14:textId="61A7855D" w:rsidR="00416C7A" w:rsidRDefault="00416C7A" w:rsidP="00416C7A">
      <w:pPr>
        <w:pStyle w:val="Heading4"/>
      </w:pPr>
      <w:r w:rsidRPr="00C36178">
        <w:t>Decarbonization</w:t>
      </w:r>
      <w:r>
        <w:t xml:space="preserve"> Summary</w:t>
      </w:r>
    </w:p>
    <w:p w14:paraId="26B9D73E" w14:textId="56EF5A60" w:rsidR="00416C7A" w:rsidRDefault="003A3E79" w:rsidP="0041296A">
      <w:r>
        <w:fldChar w:fldCharType="begin"/>
      </w:r>
      <w:r>
        <w:instrText xml:space="preserve"> REF _Ref176249542 \h </w:instrText>
      </w:r>
      <w:r>
        <w:fldChar w:fldCharType="separate"/>
      </w:r>
      <w:r w:rsidR="008F724F">
        <w:t xml:space="preserve">Table </w:t>
      </w:r>
      <w:r w:rsidR="008F724F">
        <w:rPr>
          <w:noProof/>
        </w:rPr>
        <w:t>5</w:t>
      </w:r>
      <w:r>
        <w:fldChar w:fldCharType="end"/>
      </w:r>
      <w:r w:rsidR="00416C7A">
        <w:t xml:space="preserve"> </w:t>
      </w:r>
      <w:r w:rsidR="00416C7A" w:rsidRPr="00AF1550">
        <w:t xml:space="preserve">provides </w:t>
      </w:r>
      <w:r w:rsidR="00416C7A">
        <w:t xml:space="preserve">the </w:t>
      </w:r>
      <w:r w:rsidR="00416C7A" w:rsidRPr="00AF1550">
        <w:t xml:space="preserve">estimated </w:t>
      </w:r>
      <w:r w:rsidR="00416C7A">
        <w:t>2025 decarbonization range for replacement of</w:t>
      </w:r>
      <w:r w:rsidR="00AE6032">
        <w:t xml:space="preserve"> fuel</w:t>
      </w:r>
      <w:r w:rsidR="00416C7A">
        <w:t xml:space="preserve"> oil</w:t>
      </w:r>
      <w:r w:rsidR="00AE6032">
        <w:t xml:space="preserve"> #2</w:t>
      </w:r>
      <w:r w:rsidR="00416C7A" w:rsidRPr="0084682F">
        <w:t xml:space="preserve"> with </w:t>
      </w:r>
      <w:r w:rsidR="00AE6032">
        <w:t>renewable diesel</w:t>
      </w:r>
      <w:r w:rsidR="00AE6032" w:rsidRPr="0084682F">
        <w:t xml:space="preserve"> </w:t>
      </w:r>
      <w:r w:rsidR="00416C7A" w:rsidRPr="0084682F">
        <w:t xml:space="preserve">from each of the </w:t>
      </w:r>
      <w:r w:rsidR="00416C7A">
        <w:t>four</w:t>
      </w:r>
      <w:r w:rsidR="00416C7A" w:rsidRPr="0084682F">
        <w:t xml:space="preserve"> </w:t>
      </w:r>
      <w:r w:rsidR="00AE6032">
        <w:t xml:space="preserve">characterized </w:t>
      </w:r>
      <w:r w:rsidR="00416C7A" w:rsidRPr="0084682F">
        <w:t>feedstocks. These estimates are not inclusive of all eligible conditions; o</w:t>
      </w:r>
      <w:r w:rsidR="00416C7A">
        <w:t>ther conditions may be calculated from the algorithms herein.</w:t>
      </w:r>
    </w:p>
    <w:p w14:paraId="42832A28" w14:textId="7CB80183" w:rsidR="00416C7A" w:rsidRDefault="00416C7A" w:rsidP="00813BC9">
      <w:pPr>
        <w:pStyle w:val="Caption"/>
      </w:pPr>
      <w:bookmarkStart w:id="31" w:name="_Ref176249542"/>
      <w:r>
        <w:t xml:space="preserve">Table </w:t>
      </w:r>
      <w:r>
        <w:fldChar w:fldCharType="begin"/>
      </w:r>
      <w:r>
        <w:instrText xml:space="preserve"> SEQ Table \* ARABIC </w:instrText>
      </w:r>
      <w:r>
        <w:fldChar w:fldCharType="separate"/>
      </w:r>
      <w:r w:rsidR="008F724F">
        <w:rPr>
          <w:noProof/>
        </w:rPr>
        <w:t>5</w:t>
      </w:r>
      <w:r>
        <w:fldChar w:fldCharType="end"/>
      </w:r>
      <w:bookmarkEnd w:id="31"/>
      <w:r>
        <w:t>.</w:t>
      </w:r>
      <w:r w:rsidRPr="00897C4B">
        <w:t xml:space="preserve"> </w:t>
      </w:r>
      <w:r w:rsidR="00AE6032">
        <w:t xml:space="preserve">Renewable Diesel </w:t>
      </w:r>
      <w:r w:rsidRPr="00897C4B">
        <w:t>CO</w:t>
      </w:r>
      <w:r w:rsidRPr="0041296A">
        <w:rPr>
          <w:vertAlign w:val="subscript"/>
        </w:rPr>
        <w:t>2</w:t>
      </w:r>
      <w:r w:rsidRPr="00897C4B">
        <w:t>e Reductions</w:t>
      </w:r>
    </w:p>
    <w:tbl>
      <w:tblPr>
        <w:tblStyle w:val="ODCBasic-1"/>
        <w:tblW w:w="0" w:type="auto"/>
        <w:tblCellMar>
          <w:top w:w="0" w:type="dxa"/>
        </w:tblCellMar>
        <w:tblLook w:val="04A0" w:firstRow="1" w:lastRow="0" w:firstColumn="1" w:lastColumn="0" w:noHBand="0" w:noVBand="1"/>
      </w:tblPr>
      <w:tblGrid>
        <w:gridCol w:w="2836"/>
        <w:gridCol w:w="1569"/>
        <w:gridCol w:w="1719"/>
        <w:gridCol w:w="1644"/>
        <w:gridCol w:w="1644"/>
      </w:tblGrid>
      <w:tr w:rsidR="00AE6032" w14:paraId="2B0BF860" w14:textId="77777777" w:rsidTr="007C1EC0">
        <w:trPr>
          <w:cnfStyle w:val="100000000000" w:firstRow="1" w:lastRow="0" w:firstColumn="0" w:lastColumn="0" w:oddVBand="0" w:evenVBand="0" w:oddHBand="0" w:evenHBand="0" w:firstRowFirstColumn="0" w:firstRowLastColumn="0" w:lastRowFirstColumn="0" w:lastRowLastColumn="0"/>
          <w:trHeight w:val="386"/>
          <w:tblHeader/>
        </w:trPr>
        <w:tc>
          <w:tcPr>
            <w:cnfStyle w:val="001000000000" w:firstRow="0" w:lastRow="0" w:firstColumn="1" w:lastColumn="0" w:oddVBand="0" w:evenVBand="0" w:oddHBand="0" w:evenHBand="0" w:firstRowFirstColumn="0" w:firstRowLastColumn="0" w:lastRowFirstColumn="0" w:lastRowLastColumn="0"/>
            <w:tcW w:w="2836" w:type="dxa"/>
            <w:vMerge w:val="restart"/>
            <w:tcBorders>
              <w:bottom w:val="single" w:sz="4" w:space="0" w:color="4A4D56" w:themeColor="text1"/>
              <w:right w:val="single" w:sz="4" w:space="0" w:color="4A4D56" w:themeColor="text1"/>
            </w:tcBorders>
          </w:tcPr>
          <w:p w14:paraId="3CAF8605" w14:textId="6525FB5C" w:rsidR="00AE6032" w:rsidRPr="00625570" w:rsidRDefault="00AE6032" w:rsidP="007C1EC0">
            <w:pPr>
              <w:pStyle w:val="TableHeadingLeft"/>
            </w:pPr>
          </w:p>
        </w:tc>
        <w:tc>
          <w:tcPr>
            <w:tcW w:w="6576" w:type="dxa"/>
            <w:gridSpan w:val="4"/>
            <w:tcBorders>
              <w:left w:val="single" w:sz="4" w:space="0" w:color="4A4D56" w:themeColor="text1"/>
              <w:bottom w:val="single" w:sz="4" w:space="0" w:color="4A4D56" w:themeColor="text1"/>
            </w:tcBorders>
          </w:tcPr>
          <w:p w14:paraId="34B551B2" w14:textId="74F35D54" w:rsidR="00AE6032" w:rsidRPr="00625570" w:rsidRDefault="00AE6032" w:rsidP="007C1EC0">
            <w:pPr>
              <w:pStyle w:val="TableHeadingCentered"/>
              <w:cnfStyle w:val="100000000000" w:firstRow="1" w:lastRow="0" w:firstColumn="0" w:lastColumn="0" w:oddVBand="0" w:evenVBand="0" w:oddHBand="0" w:evenHBand="0" w:firstRowFirstColumn="0" w:firstRowLastColumn="0" w:lastRowFirstColumn="0" w:lastRowLastColumn="0"/>
              <w:rPr>
                <w:iCs w:val="0"/>
              </w:rPr>
            </w:pPr>
            <w:r>
              <w:t>CO</w:t>
            </w:r>
            <w:r w:rsidRPr="001F0C67">
              <w:rPr>
                <w:vertAlign w:val="subscript"/>
              </w:rPr>
              <w:t>2</w:t>
            </w:r>
            <w:r>
              <w:t xml:space="preserve">e Reduction </w:t>
            </w:r>
            <w:r w:rsidR="00DD134A">
              <w:t xml:space="preserve">per Gallon </w:t>
            </w:r>
            <w:r w:rsidRPr="001F0C67">
              <w:t>[gCO</w:t>
            </w:r>
            <w:r w:rsidRPr="00D678B3">
              <w:rPr>
                <w:vertAlign w:val="subscript"/>
              </w:rPr>
              <w:t>2</w:t>
            </w:r>
            <w:r w:rsidRPr="001F0C67">
              <w:t>e/</w:t>
            </w:r>
            <w:r>
              <w:t>gallon</w:t>
            </w:r>
            <w:r w:rsidRPr="001F0C67">
              <w:t>]</w:t>
            </w:r>
            <w:r>
              <w:t xml:space="preserve"> in 2025 by </w:t>
            </w:r>
            <w:r w:rsidR="00DD134A">
              <w:t xml:space="preserve">Fuel </w:t>
            </w:r>
            <w:r>
              <w:t>Pathway</w:t>
            </w:r>
          </w:p>
        </w:tc>
      </w:tr>
      <w:tr w:rsidR="00AE6032" w14:paraId="242069E3" w14:textId="77777777" w:rsidTr="007C1EC0">
        <w:trPr>
          <w:cnfStyle w:val="100000000000" w:firstRow="1" w:lastRow="0" w:firstColumn="0" w:lastColumn="0" w:oddVBand="0" w:evenVBand="0" w:oddHBand="0" w:evenHBand="0" w:firstRowFirstColumn="0" w:firstRowLastColumn="0" w:lastRowFirstColumn="0" w:lastRowLastColumn="0"/>
          <w:cantSplit/>
          <w:trHeight w:val="340"/>
          <w:tblHeader/>
        </w:trPr>
        <w:tc>
          <w:tcPr>
            <w:cnfStyle w:val="001000000000" w:firstRow="0" w:lastRow="0" w:firstColumn="1" w:lastColumn="0" w:oddVBand="0" w:evenVBand="0" w:oddHBand="0" w:evenHBand="0" w:firstRowFirstColumn="0" w:firstRowLastColumn="0" w:lastRowFirstColumn="0" w:lastRowLastColumn="0"/>
            <w:tcW w:w="2836" w:type="dxa"/>
            <w:vMerge/>
            <w:tcBorders>
              <w:top w:val="single" w:sz="4" w:space="0" w:color="4A4D56" w:themeColor="text1"/>
              <w:right w:val="single" w:sz="4" w:space="0" w:color="4A4D56" w:themeColor="text1"/>
            </w:tcBorders>
          </w:tcPr>
          <w:p w14:paraId="05444522" w14:textId="77777777" w:rsidR="00AE6032" w:rsidRPr="00625570" w:rsidRDefault="00AE6032" w:rsidP="007C1EC0">
            <w:pPr>
              <w:pStyle w:val="ODTable"/>
              <w:suppressAutoHyphens/>
              <w:ind w:left="72"/>
              <w:rPr>
                <w:sz w:val="18"/>
                <w:szCs w:val="18"/>
              </w:rPr>
            </w:pPr>
          </w:p>
        </w:tc>
        <w:tc>
          <w:tcPr>
            <w:tcW w:w="1569" w:type="dxa"/>
            <w:tcBorders>
              <w:top w:val="single" w:sz="4" w:space="0" w:color="4A4D56" w:themeColor="text1"/>
              <w:left w:val="single" w:sz="4" w:space="0" w:color="4A4D56" w:themeColor="text1"/>
              <w:right w:val="single" w:sz="4" w:space="0" w:color="4A4D56" w:themeColor="text1"/>
            </w:tcBorders>
          </w:tcPr>
          <w:p w14:paraId="271CDD0E" w14:textId="77777777" w:rsidR="00AE6032" w:rsidRPr="00625570" w:rsidRDefault="00AE6032" w:rsidP="007C1EC0">
            <w:pPr>
              <w:pStyle w:val="TableHeadingCentered"/>
              <w:cnfStyle w:val="100000000000" w:firstRow="1" w:lastRow="0" w:firstColumn="0" w:lastColumn="0" w:oddVBand="0" w:evenVBand="0" w:oddHBand="0" w:evenHBand="0" w:firstRowFirstColumn="0" w:firstRowLastColumn="0" w:lastRowFirstColumn="0" w:lastRowLastColumn="0"/>
              <w:rPr>
                <w:rFonts w:cs="Calibri"/>
              </w:rPr>
            </w:pPr>
            <w:r>
              <w:t>Soybeans</w:t>
            </w:r>
          </w:p>
        </w:tc>
        <w:tc>
          <w:tcPr>
            <w:tcW w:w="1719" w:type="dxa"/>
            <w:tcBorders>
              <w:top w:val="single" w:sz="4" w:space="0" w:color="4A4D56" w:themeColor="text1"/>
              <w:left w:val="single" w:sz="4" w:space="0" w:color="4A4D56" w:themeColor="text1"/>
              <w:right w:val="single" w:sz="4" w:space="0" w:color="4A4D56" w:themeColor="text1"/>
            </w:tcBorders>
          </w:tcPr>
          <w:p w14:paraId="1959224D" w14:textId="77777777" w:rsidR="00AE6032" w:rsidRPr="00625570" w:rsidRDefault="00AE6032" w:rsidP="007C1EC0">
            <w:pPr>
              <w:pStyle w:val="TableHeadingCentered"/>
              <w:cnfStyle w:val="100000000000" w:firstRow="1" w:lastRow="0" w:firstColumn="0" w:lastColumn="0" w:oddVBand="0" w:evenVBand="0" w:oddHBand="0" w:evenHBand="0" w:firstRowFirstColumn="0" w:firstRowLastColumn="0" w:lastRowFirstColumn="0" w:lastRowLastColumn="0"/>
            </w:pPr>
            <w:r>
              <w:t>Canola</w:t>
            </w:r>
          </w:p>
        </w:tc>
        <w:tc>
          <w:tcPr>
            <w:tcW w:w="1644" w:type="dxa"/>
            <w:tcBorders>
              <w:top w:val="single" w:sz="4" w:space="0" w:color="4A4D56" w:themeColor="text1"/>
              <w:left w:val="single" w:sz="4" w:space="0" w:color="4A4D56" w:themeColor="text1"/>
              <w:right w:val="single" w:sz="4" w:space="0" w:color="4A4D56" w:themeColor="text1"/>
            </w:tcBorders>
          </w:tcPr>
          <w:p w14:paraId="0B85B101" w14:textId="77777777" w:rsidR="00AE6032" w:rsidRPr="00625570" w:rsidRDefault="00AE6032" w:rsidP="007C1EC0">
            <w:pPr>
              <w:pStyle w:val="TableHeadingCentered"/>
              <w:cnfStyle w:val="100000000000" w:firstRow="1" w:lastRow="0" w:firstColumn="0" w:lastColumn="0" w:oddVBand="0" w:evenVBand="0" w:oddHBand="0" w:evenHBand="0" w:firstRowFirstColumn="0" w:firstRowLastColumn="0" w:lastRowFirstColumn="0" w:lastRowLastColumn="0"/>
            </w:pPr>
            <w:r>
              <w:t>Corn</w:t>
            </w:r>
          </w:p>
        </w:tc>
        <w:tc>
          <w:tcPr>
            <w:tcW w:w="1644" w:type="dxa"/>
            <w:tcBorders>
              <w:top w:val="single" w:sz="4" w:space="0" w:color="4A4D56" w:themeColor="text1"/>
              <w:left w:val="single" w:sz="4" w:space="0" w:color="4A4D56" w:themeColor="text1"/>
              <w:right w:val="single" w:sz="4" w:space="0" w:color="4A4D56" w:themeColor="text1"/>
            </w:tcBorders>
          </w:tcPr>
          <w:p w14:paraId="22E41C5A" w14:textId="77777777" w:rsidR="00AE6032" w:rsidRPr="00625570" w:rsidRDefault="00AE6032" w:rsidP="007C1EC0">
            <w:pPr>
              <w:pStyle w:val="TableHeadingCentered"/>
              <w:cnfStyle w:val="100000000000" w:firstRow="1" w:lastRow="0" w:firstColumn="0" w:lastColumn="0" w:oddVBand="0" w:evenVBand="0" w:oddHBand="0" w:evenHBand="0" w:firstRowFirstColumn="0" w:firstRowLastColumn="0" w:lastRowFirstColumn="0" w:lastRowLastColumn="0"/>
            </w:pPr>
            <w:r>
              <w:t>Used Cooking Oil</w:t>
            </w:r>
          </w:p>
        </w:tc>
      </w:tr>
      <w:tr w:rsidR="00AE6032" w14:paraId="6C9124CE" w14:textId="77777777" w:rsidTr="0041296A">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0" w:type="dxa"/>
          </w:tcPr>
          <w:p w14:paraId="0A8ADDFE" w14:textId="6684AD1A" w:rsidR="00AE6032" w:rsidRPr="001C50B5" w:rsidRDefault="00AE6032" w:rsidP="007C1EC0">
            <w:pPr>
              <w:pStyle w:val="TableLeftText"/>
            </w:pPr>
            <w:r>
              <w:t>Renewable Diesel</w:t>
            </w:r>
          </w:p>
        </w:tc>
        <w:tc>
          <w:tcPr>
            <w:tcW w:w="0" w:type="dxa"/>
          </w:tcPr>
          <w:p w14:paraId="0C73196A" w14:textId="2C435D39" w:rsidR="00AE6032" w:rsidRPr="00FA3A09" w:rsidRDefault="00AE6032" w:rsidP="0041296A">
            <w:pPr>
              <w:pStyle w:val="TableCenterText"/>
              <w:jc w:val="right"/>
              <w:cnfStyle w:val="000000100000" w:firstRow="0" w:lastRow="0" w:firstColumn="0" w:lastColumn="0" w:oddVBand="0" w:evenVBand="0" w:oddHBand="1" w:evenHBand="0" w:firstRowFirstColumn="0" w:firstRowLastColumn="0" w:lastRowFirstColumn="0" w:lastRowLastColumn="0"/>
            </w:pPr>
            <w:r w:rsidRPr="00AE6032">
              <w:t>6,652</w:t>
            </w:r>
          </w:p>
        </w:tc>
        <w:tc>
          <w:tcPr>
            <w:tcW w:w="0" w:type="dxa"/>
          </w:tcPr>
          <w:p w14:paraId="36A2BD91" w14:textId="25816616" w:rsidR="00AE6032" w:rsidRPr="00FA3A09" w:rsidRDefault="00AE6032" w:rsidP="0041296A">
            <w:pPr>
              <w:pStyle w:val="TableCenterText"/>
              <w:jc w:val="right"/>
              <w:cnfStyle w:val="000000100000" w:firstRow="0" w:lastRow="0" w:firstColumn="0" w:lastColumn="0" w:oddVBand="0" w:evenVBand="0" w:oddHBand="1" w:evenHBand="0" w:firstRowFirstColumn="0" w:firstRowLastColumn="0" w:lastRowFirstColumn="0" w:lastRowLastColumn="0"/>
            </w:pPr>
            <w:r w:rsidRPr="00AE6032">
              <w:t>6,688</w:t>
            </w:r>
          </w:p>
        </w:tc>
        <w:tc>
          <w:tcPr>
            <w:tcW w:w="0" w:type="dxa"/>
          </w:tcPr>
          <w:p w14:paraId="1C4F3726" w14:textId="283888AD" w:rsidR="00AE6032" w:rsidRPr="00FA3A09" w:rsidRDefault="00AE6032" w:rsidP="0041296A">
            <w:pPr>
              <w:pStyle w:val="TableCenterText"/>
              <w:jc w:val="right"/>
              <w:cnfStyle w:val="000000100000" w:firstRow="0" w:lastRow="0" w:firstColumn="0" w:lastColumn="0" w:oddVBand="0" w:evenVBand="0" w:oddHBand="1" w:evenHBand="0" w:firstRowFirstColumn="0" w:firstRowLastColumn="0" w:lastRowFirstColumn="0" w:lastRowLastColumn="0"/>
            </w:pPr>
            <w:r w:rsidRPr="00AE6032">
              <w:t>9,291</w:t>
            </w:r>
          </w:p>
        </w:tc>
        <w:tc>
          <w:tcPr>
            <w:tcW w:w="0" w:type="dxa"/>
          </w:tcPr>
          <w:p w14:paraId="26036D9F" w14:textId="37F22A7E" w:rsidR="00AE6032" w:rsidRPr="00FA3A09" w:rsidRDefault="00AE6032" w:rsidP="0041296A">
            <w:pPr>
              <w:pStyle w:val="TableCenterText"/>
              <w:jc w:val="right"/>
              <w:cnfStyle w:val="000000100000" w:firstRow="0" w:lastRow="0" w:firstColumn="0" w:lastColumn="0" w:oddVBand="0" w:evenVBand="0" w:oddHBand="1" w:evenHBand="0" w:firstRowFirstColumn="0" w:firstRowLastColumn="0" w:lastRowFirstColumn="0" w:lastRowLastColumn="0"/>
            </w:pPr>
            <w:r w:rsidRPr="00AE6032">
              <w:t>8,583</w:t>
            </w:r>
          </w:p>
        </w:tc>
      </w:tr>
    </w:tbl>
    <w:p w14:paraId="43FAA90A" w14:textId="3C9A6F35" w:rsidR="00416C7A" w:rsidRDefault="00416C7A" w:rsidP="00416C7A">
      <w:pPr>
        <w:pStyle w:val="Heading4"/>
      </w:pPr>
      <w:r>
        <w:lastRenderedPageBreak/>
        <w:t xml:space="preserve">Decarbonization </w:t>
      </w:r>
      <w:r w:rsidRPr="00AF1550">
        <w:t xml:space="preserve">and Energy </w:t>
      </w:r>
      <w:r>
        <w:t>I</w:t>
      </w:r>
      <w:r w:rsidRPr="00AF1550">
        <w:t xml:space="preserve">mpacts </w:t>
      </w:r>
      <w:r>
        <w:t>Algorithms</w:t>
      </w:r>
    </w:p>
    <w:p w14:paraId="0233B017" w14:textId="0E30BA7C" w:rsidR="00416C7A" w:rsidRPr="00AF1550" w:rsidRDefault="00416C7A" w:rsidP="00416C7A">
      <w:r w:rsidRPr="00AF1550">
        <w:tab/>
        <w:t>CO</w:t>
      </w:r>
      <w:r w:rsidRPr="003039BF">
        <w:rPr>
          <w:vertAlign w:val="subscript"/>
        </w:rPr>
        <w:t>2</w:t>
      </w:r>
      <w:r w:rsidRPr="00AF1550">
        <w:t>e (gCO</w:t>
      </w:r>
      <w:r>
        <w:rPr>
          <w:vertAlign w:val="subscript"/>
        </w:rPr>
        <w:t>2</w:t>
      </w:r>
      <w:r w:rsidRPr="00AF1550">
        <w:t xml:space="preserve">e) = </w:t>
      </w:r>
      <m:oMath>
        <m:d>
          <m:dPr>
            <m:ctrlPr>
              <w:rPr>
                <w:rFonts w:ascii="Cambria Math" w:hAnsi="Cambria Math"/>
                <w:i/>
              </w:rPr>
            </m:ctrlPr>
          </m:dPr>
          <m:e>
            <m:sSub>
              <m:sSubPr>
                <m:ctrlPr>
                  <w:rPr>
                    <w:rFonts w:ascii="Cambria Math" w:hAnsi="Cambria Math"/>
                    <w:i/>
                  </w:rPr>
                </m:ctrlPr>
              </m:sSubPr>
              <m:e>
                <m:r>
                  <w:rPr>
                    <w:rFonts w:ascii="Cambria Math" w:hAnsi="Cambria Math"/>
                  </w:rPr>
                  <m:t>EF</m:t>
                </m:r>
              </m:e>
              <m:sub>
                <m:r>
                  <w:rPr>
                    <w:rFonts w:ascii="Cambria Math" w:hAnsi="Cambria Math"/>
                  </w:rPr>
                  <m:t>base</m:t>
                </m:r>
              </m:sub>
            </m:sSub>
            <m:r>
              <w:rPr>
                <w:rFonts w:ascii="Cambria Math" w:hAnsi="Cambria Math"/>
              </w:rPr>
              <m:t>-</m:t>
            </m:r>
            <m:sSub>
              <m:sSubPr>
                <m:ctrlPr>
                  <w:rPr>
                    <w:rFonts w:ascii="Cambria Math" w:hAnsi="Cambria Math"/>
                    <w:i/>
                  </w:rPr>
                </m:ctrlPr>
              </m:sSubPr>
              <m:e>
                <m:r>
                  <w:rPr>
                    <w:rFonts w:ascii="Cambria Math" w:hAnsi="Cambria Math"/>
                  </w:rPr>
                  <m:t>EF</m:t>
                </m:r>
              </m:e>
              <m:sub>
                <m:r>
                  <w:rPr>
                    <w:rFonts w:ascii="Cambria Math" w:hAnsi="Cambria Math"/>
                  </w:rPr>
                  <m:t>prop</m:t>
                </m:r>
              </m:sub>
            </m:sSub>
          </m:e>
        </m:d>
        <m:r>
          <w:rPr>
            <w:rFonts w:ascii="Cambria Math" w:hAnsi="Cambria Math"/>
          </w:rPr>
          <m:t>×E</m:t>
        </m:r>
      </m:oMath>
    </w:p>
    <w:p w14:paraId="13F71276" w14:textId="2B36589D" w:rsidR="00416C7A" w:rsidRPr="00AF1550" w:rsidRDefault="00A86DE3" w:rsidP="00416C7A">
      <w:pPr>
        <w:ind w:left="1440"/>
      </w:pPr>
      <w:proofErr w:type="spellStart"/>
      <w:r>
        <w:t>CI</w:t>
      </w:r>
      <w:r w:rsidR="00416C7A" w:rsidRPr="00AF1550">
        <w:rPr>
          <w:vertAlign w:val="subscript"/>
        </w:rPr>
        <w:t>base</w:t>
      </w:r>
      <w:proofErr w:type="spellEnd"/>
      <w:r w:rsidR="00416C7A" w:rsidRPr="00AF1550">
        <w:t xml:space="preserve"> = </w:t>
      </w:r>
      <w:r w:rsidR="00416C7A">
        <w:t xml:space="preserve">Fuel oil #2 </w:t>
      </w:r>
      <w:r w:rsidR="00DD134A">
        <w:t>carbon intensity value (</w:t>
      </w:r>
      <w:r w:rsidR="00416C7A">
        <w:t>gCO</w:t>
      </w:r>
      <w:r w:rsidR="00416C7A" w:rsidRPr="0041296A">
        <w:rPr>
          <w:vertAlign w:val="subscript"/>
        </w:rPr>
        <w:t>2</w:t>
      </w:r>
      <w:r w:rsidR="00416C7A" w:rsidRPr="00A45E83">
        <w:t>e</w:t>
      </w:r>
      <w:r w:rsidR="00416C7A">
        <w:t>/MJ</w:t>
      </w:r>
      <w:r w:rsidR="00DD134A">
        <w:t>)</w:t>
      </w:r>
      <w:r w:rsidR="00416C7A">
        <w:t xml:space="preserve">. </w:t>
      </w:r>
      <w:r w:rsidR="00257E63">
        <w:t>Varies by year; see &lt;EMISSIONS SCHEDULE&gt; in &lt;FRONT MATTER SECTION&gt;.</w:t>
      </w:r>
    </w:p>
    <w:p w14:paraId="088C03E0" w14:textId="38D4A16C" w:rsidR="00416C7A" w:rsidRDefault="00A86DE3" w:rsidP="00416C7A">
      <w:pPr>
        <w:ind w:left="1440"/>
      </w:pPr>
      <w:proofErr w:type="spellStart"/>
      <w:r>
        <w:t>CI</w:t>
      </w:r>
      <w:r w:rsidR="00416C7A" w:rsidRPr="00AF1550">
        <w:rPr>
          <w:vertAlign w:val="subscript"/>
        </w:rPr>
        <w:t>prop</w:t>
      </w:r>
      <w:proofErr w:type="spellEnd"/>
      <w:r w:rsidR="00416C7A" w:rsidRPr="00AF1550">
        <w:t xml:space="preserve"> = </w:t>
      </w:r>
      <w:r w:rsidR="00416C7A">
        <w:t>Renewable diesel</w:t>
      </w:r>
      <w:r w:rsidR="00416C7A" w:rsidRPr="00AF1550">
        <w:t xml:space="preserve"> </w:t>
      </w:r>
      <w:r w:rsidR="00DD134A">
        <w:t>carbon intensity value (</w:t>
      </w:r>
      <w:r w:rsidR="00416C7A">
        <w:t>gCO</w:t>
      </w:r>
      <w:r w:rsidR="00416C7A" w:rsidRPr="0041296A">
        <w:rPr>
          <w:vertAlign w:val="subscript"/>
        </w:rPr>
        <w:t>2</w:t>
      </w:r>
      <w:r w:rsidR="00416C7A" w:rsidRPr="00A45E83">
        <w:t>e</w:t>
      </w:r>
      <w:r w:rsidR="00416C7A">
        <w:t>/MJ</w:t>
      </w:r>
      <w:r w:rsidR="00DD134A">
        <w:t>)</w:t>
      </w:r>
      <w:r w:rsidR="00416C7A">
        <w:t>, based on fuel pathway</w:t>
      </w:r>
      <w:r w:rsidR="00416C7A" w:rsidRPr="00AF1550">
        <w:t xml:space="preserve">. </w:t>
      </w:r>
      <w:r w:rsidR="00257E63">
        <w:t>Varies by year; see &lt;EMISSIONS SCHEDULE&gt; in &lt;FRONT MATTER SECTION&gt;.</w:t>
      </w:r>
      <w:r w:rsidR="00416C7A" w:rsidRPr="00AF1550">
        <w:t xml:space="preserve"> </w:t>
      </w:r>
      <w:r w:rsidR="00416C7A" w:rsidRPr="007B762C">
        <w:t xml:space="preserve">If a blend of </w:t>
      </w:r>
      <w:r w:rsidR="00416C7A">
        <w:t>renewable diesel from various pathways is used</w:t>
      </w:r>
      <w:r w:rsidR="00416C7A" w:rsidRPr="007B762C">
        <w:t>, then develop a weighted average</w:t>
      </w:r>
      <w:r w:rsidR="00416C7A">
        <w:t xml:space="preserve"> by volume</w:t>
      </w:r>
      <w:r w:rsidR="00416C7A" w:rsidRPr="007B762C">
        <w:t>.</w:t>
      </w:r>
    </w:p>
    <w:p w14:paraId="7E7D6C08" w14:textId="09CF1CDB" w:rsidR="00416C7A" w:rsidRDefault="00416C7A" w:rsidP="00416C7A">
      <w:pPr>
        <w:ind w:left="1440"/>
      </w:pPr>
      <w:r w:rsidRPr="007313F2">
        <w:t>Ε</w:t>
      </w:r>
      <w:r>
        <w:t xml:space="preserve"> = The total energy of the renewable diesel delivered to the end-user in megajoules.</w:t>
      </w:r>
    </w:p>
    <w:p w14:paraId="2CA66FEF" w14:textId="418EB0CC" w:rsidR="00416C7A" w:rsidRDefault="00416C7A" w:rsidP="00416C7A">
      <w:pPr>
        <w:pStyle w:val="Heading5"/>
        <w:ind w:firstLine="720"/>
      </w:pPr>
      <w:r w:rsidRPr="00AF1550">
        <w:t xml:space="preserve">Energy </w:t>
      </w:r>
      <w:r>
        <w:t>I</w:t>
      </w:r>
      <w:r w:rsidRPr="00AF1550">
        <w:t>mpacts Algorithms</w:t>
      </w:r>
    </w:p>
    <w:p w14:paraId="0820F593" w14:textId="0D59B1BA" w:rsidR="00416C7A" w:rsidRDefault="00416C7A" w:rsidP="00416C7A">
      <w:r>
        <w:tab/>
        <w:t xml:space="preserve">E = </w:t>
      </w:r>
      <m:oMath>
        <m:d>
          <m:dPr>
            <m:ctrlPr>
              <w:rPr>
                <w:rFonts w:ascii="Cambria Math" w:hAnsi="Cambria Math"/>
                <w:i/>
              </w:rPr>
            </m:ctrlPr>
          </m:dPr>
          <m:e>
            <m:sSub>
              <m:sSubPr>
                <m:ctrlPr>
                  <w:rPr>
                    <w:rFonts w:ascii="Cambria Math" w:hAnsi="Cambria Math"/>
                    <w:i/>
                  </w:rPr>
                </m:ctrlPr>
              </m:sSubPr>
              <m:e>
                <m:r>
                  <w:rPr>
                    <w:rFonts w:ascii="Cambria Math" w:hAnsi="Cambria Math"/>
                  </w:rPr>
                  <m:t>V</m:t>
                </m:r>
              </m:e>
              <m:sub>
                <m:r>
                  <w:rPr>
                    <w:rFonts w:ascii="Cambria Math" w:hAnsi="Cambria Math"/>
                  </w:rPr>
                  <m:t>RD</m:t>
                </m:r>
              </m:sub>
            </m:sSub>
            <m:r>
              <w:rPr>
                <w:rFonts w:ascii="Cambria Math" w:hAnsi="Cambria Math"/>
              </w:rPr>
              <m:t>×</m:t>
            </m:r>
            <m:sSub>
              <m:sSubPr>
                <m:ctrlPr>
                  <w:rPr>
                    <w:rFonts w:ascii="Cambria Math" w:hAnsi="Cambria Math"/>
                    <w:i/>
                  </w:rPr>
                </m:ctrlPr>
              </m:sSubPr>
              <m:e>
                <m:r>
                  <w:rPr>
                    <w:rFonts w:ascii="Cambria Math" w:hAnsi="Cambria Math"/>
                  </w:rPr>
                  <m:t>LHV</m:t>
                </m:r>
              </m:e>
              <m:sub>
                <m:r>
                  <w:rPr>
                    <w:rFonts w:ascii="Cambria Math" w:hAnsi="Cambria Math"/>
                  </w:rPr>
                  <m:t>RD</m:t>
                </m:r>
              </m:sub>
            </m:sSub>
          </m:e>
        </m:d>
      </m:oMath>
    </w:p>
    <w:p w14:paraId="7379C265" w14:textId="21B3BB0D" w:rsidR="00416C7A" w:rsidRDefault="00416C7A" w:rsidP="00416C7A">
      <w:pPr>
        <w:rPr>
          <w:b/>
          <w:bCs/>
        </w:rPr>
      </w:pPr>
      <w:r w:rsidRPr="00D035ED">
        <w:rPr>
          <w:b/>
          <w:bCs/>
        </w:rPr>
        <w:tab/>
        <w:t xml:space="preserve">Input </w:t>
      </w:r>
      <w:r>
        <w:rPr>
          <w:b/>
          <w:bCs/>
        </w:rPr>
        <w:t>V</w:t>
      </w:r>
      <w:r w:rsidRPr="00D035ED">
        <w:rPr>
          <w:b/>
          <w:bCs/>
        </w:rPr>
        <w:t xml:space="preserve">ariable </w:t>
      </w:r>
      <w:r>
        <w:rPr>
          <w:b/>
          <w:bCs/>
        </w:rPr>
        <w:t>D</w:t>
      </w:r>
      <w:r w:rsidR="00DD134A">
        <w:rPr>
          <w:b/>
          <w:bCs/>
        </w:rPr>
        <w:t>ef</w:t>
      </w:r>
      <w:r w:rsidRPr="00D035ED">
        <w:rPr>
          <w:b/>
          <w:bCs/>
        </w:rPr>
        <w:t>initions</w:t>
      </w:r>
    </w:p>
    <w:p w14:paraId="21238D29" w14:textId="78BDF2AA" w:rsidR="00416C7A" w:rsidRDefault="00416C7A" w:rsidP="00416C7A">
      <w:pPr>
        <w:ind w:left="1440"/>
      </w:pPr>
      <w:r>
        <w:t>V</w:t>
      </w:r>
      <w:r>
        <w:rPr>
          <w:vertAlign w:val="subscript"/>
        </w:rPr>
        <w:t>RD</w:t>
      </w:r>
      <w:r>
        <w:t xml:space="preserve"> = The total volume of renewable diesel that is delivered to the end-user in </w:t>
      </w:r>
      <w:r w:rsidR="00DD134A">
        <w:t>gallons</w:t>
      </w:r>
      <w:r>
        <w:t xml:space="preserve">. </w:t>
      </w:r>
    </w:p>
    <w:p w14:paraId="6BEB2A18" w14:textId="3FDB8F78" w:rsidR="00416C7A" w:rsidRDefault="00416C7A" w:rsidP="00416C7A">
      <w:pPr>
        <w:ind w:left="1440"/>
      </w:pPr>
      <w:r>
        <w:t>LHV</w:t>
      </w:r>
      <w:r>
        <w:rPr>
          <w:vertAlign w:val="subscript"/>
        </w:rPr>
        <w:t>R</w:t>
      </w:r>
      <w:r w:rsidRPr="00334C57">
        <w:rPr>
          <w:vertAlign w:val="subscript"/>
        </w:rPr>
        <w:t>D</w:t>
      </w:r>
      <w:r>
        <w:t xml:space="preserve"> = Lower Heating Value of renewable diesel in units of MJ/gallon, 129.65 MJ/gal.</w:t>
      </w:r>
      <w:r>
        <w:rPr>
          <w:rStyle w:val="FootnoteReference"/>
        </w:rPr>
        <w:footnoteReference w:id="10"/>
      </w:r>
    </w:p>
    <w:p w14:paraId="37BAD082" w14:textId="77777777" w:rsidR="00416C7A" w:rsidRDefault="00416C7A" w:rsidP="0041296A">
      <w:pPr>
        <w:keepNext/>
        <w:keepLines/>
        <w:ind w:firstLine="720"/>
        <w:rPr>
          <w:b/>
          <w:bCs/>
        </w:rPr>
      </w:pPr>
      <w:r w:rsidRPr="003643D2">
        <w:rPr>
          <w:b/>
          <w:bCs/>
        </w:rPr>
        <w:t>Measure Life</w:t>
      </w:r>
    </w:p>
    <w:p w14:paraId="2C5FC72F" w14:textId="1B72C700" w:rsidR="00416C7A" w:rsidRDefault="00416C7A" w:rsidP="00416C7A">
      <w:pPr>
        <w:ind w:left="1440"/>
      </w:pPr>
      <w:r>
        <w:t>Renewable diesel as a clean heat measure is not subject to a measure life, as the measure characterization is based on the volume of renewable diesel that is delivered to an end-user and used in the thermal sector.</w:t>
      </w:r>
    </w:p>
    <w:p w14:paraId="1DF05607" w14:textId="77777777" w:rsidR="00416C7A" w:rsidRDefault="00416C7A" w:rsidP="00416C7A">
      <w:pPr>
        <w:ind w:firstLine="720"/>
        <w:rPr>
          <w:b/>
          <w:bCs/>
        </w:rPr>
      </w:pPr>
      <w:r w:rsidRPr="003643D2">
        <w:rPr>
          <w:b/>
          <w:bCs/>
        </w:rPr>
        <w:t>Measure Cost</w:t>
      </w:r>
    </w:p>
    <w:p w14:paraId="0A144A9F" w14:textId="53EAB23F" w:rsidR="00416C7A" w:rsidRDefault="00416C7A" w:rsidP="00416C7A">
      <w:pPr>
        <w:ind w:left="1440"/>
      </w:pPr>
      <w:r>
        <w:t>The incremental cost of renewable diesel over fuel oil #2. Use actual costs.</w:t>
      </w:r>
    </w:p>
    <w:p w14:paraId="6749D3D2" w14:textId="77777777" w:rsidR="00416C7A" w:rsidRDefault="00416C7A" w:rsidP="00416C7A">
      <w:pPr>
        <w:pStyle w:val="Heading4"/>
      </w:pPr>
      <w:r>
        <w:t>Program Data Tracking Recommendations</w:t>
      </w:r>
    </w:p>
    <w:p w14:paraId="18E0CCF3" w14:textId="77777777" w:rsidR="00416C7A" w:rsidRDefault="00416C7A" w:rsidP="0041296A">
      <w:r>
        <w:t>The key input variables for this measure are the following:</w:t>
      </w:r>
    </w:p>
    <w:p w14:paraId="032353D5" w14:textId="7A88D4CA" w:rsidR="00416C7A" w:rsidRPr="00D57932" w:rsidRDefault="00416C7A" w:rsidP="00D57932">
      <w:pPr>
        <w:pStyle w:val="ListBullet"/>
      </w:pPr>
      <w:r w:rsidRPr="00D57932">
        <w:t>Volume of delivered renewable diesel to the end-user</w:t>
      </w:r>
    </w:p>
    <w:p w14:paraId="7D53C5C7" w14:textId="4A3994A9" w:rsidR="00416C7A" w:rsidRPr="00D57932" w:rsidRDefault="00416C7A" w:rsidP="00D57932">
      <w:pPr>
        <w:pStyle w:val="ListBullet"/>
      </w:pPr>
      <w:r w:rsidRPr="00D57932">
        <w:t>Share of renewable diesel that is used in the thermal sector</w:t>
      </w:r>
    </w:p>
    <w:p w14:paraId="11D7545E" w14:textId="77777777" w:rsidR="00416C7A" w:rsidRDefault="00416C7A" w:rsidP="00416C7A">
      <w:pPr>
        <w:pStyle w:val="Heading4"/>
      </w:pPr>
      <w:r>
        <w:t xml:space="preserve">Energy Codes and </w:t>
      </w:r>
      <w:r w:rsidRPr="00C36178">
        <w:t>Standards</w:t>
      </w:r>
    </w:p>
    <w:p w14:paraId="0CCC41F0" w14:textId="2DBDBBBF" w:rsidR="00416C7A" w:rsidRDefault="00416C7A" w:rsidP="00416C7A">
      <w:r>
        <w:t>None.</w:t>
      </w:r>
      <w:r>
        <w:tab/>
      </w:r>
    </w:p>
    <w:p w14:paraId="593403EA" w14:textId="0DC530D8" w:rsidR="00EC2EBA" w:rsidRDefault="00EC2EBA" w:rsidP="002203CC">
      <w:pPr>
        <w:pStyle w:val="Heading2"/>
      </w:pPr>
      <w:bookmarkStart w:id="32" w:name="_Toc176785054"/>
      <w:r>
        <w:lastRenderedPageBreak/>
        <w:t>Wood Fuels</w:t>
      </w:r>
      <w:bookmarkEnd w:id="32"/>
    </w:p>
    <w:p w14:paraId="5EEE975F" w14:textId="439D08AE" w:rsidR="00EC2EBA" w:rsidRDefault="00EC2EBA" w:rsidP="002203CC">
      <w:pPr>
        <w:pStyle w:val="Heading3"/>
      </w:pPr>
      <w:r>
        <w:t>Wood Chips</w:t>
      </w:r>
    </w:p>
    <w:p w14:paraId="56E19BC7" w14:textId="77777777" w:rsidR="006B6FD1" w:rsidRPr="00FC7A76" w:rsidRDefault="006B6FD1" w:rsidP="006B6FD1">
      <w:pPr>
        <w:spacing w:after="0"/>
        <w:ind w:left="1080"/>
      </w:pPr>
      <w:r w:rsidRPr="00394B33">
        <w:rPr>
          <w:b/>
          <w:bCs/>
        </w:rPr>
        <w:t xml:space="preserve">CHS Measure ID: </w:t>
      </w:r>
      <w:r>
        <w:t>CI_FUEL_WCHP</w:t>
      </w:r>
    </w:p>
    <w:p w14:paraId="28220F97" w14:textId="77777777" w:rsidR="006B6FD1" w:rsidRDefault="006B6FD1" w:rsidP="006B6FD1">
      <w:pPr>
        <w:spacing w:after="0"/>
        <w:ind w:left="1080"/>
        <w:rPr>
          <w:b/>
          <w:bCs/>
        </w:rPr>
      </w:pPr>
      <w:r>
        <w:rPr>
          <w:b/>
          <w:bCs/>
        </w:rPr>
        <w:t xml:space="preserve">Market Sector: </w:t>
      </w:r>
      <w:r>
        <w:t>Commercial &amp; Industrial</w:t>
      </w:r>
    </w:p>
    <w:p w14:paraId="3DBCD5B8" w14:textId="77777777" w:rsidR="006B6FD1" w:rsidRPr="0016490D" w:rsidRDefault="006B6FD1" w:rsidP="006B6FD1">
      <w:pPr>
        <w:spacing w:after="0"/>
        <w:ind w:left="1080"/>
      </w:pPr>
      <w:r>
        <w:rPr>
          <w:b/>
          <w:bCs/>
        </w:rPr>
        <w:t xml:space="preserve">End Use: </w:t>
      </w:r>
      <w:r w:rsidRPr="00BE2E62">
        <w:t>Alternative Fuels</w:t>
      </w:r>
      <w:r>
        <w:t xml:space="preserve"> </w:t>
      </w:r>
    </w:p>
    <w:p w14:paraId="105FC0B9" w14:textId="77777777" w:rsidR="006B6FD1" w:rsidRPr="003F16E4" w:rsidRDefault="006B6FD1" w:rsidP="006B6FD1">
      <w:pPr>
        <w:spacing w:after="0"/>
        <w:ind w:left="1080"/>
      </w:pPr>
      <w:r>
        <w:rPr>
          <w:b/>
          <w:bCs/>
        </w:rPr>
        <w:t xml:space="preserve">Applicable Building Types: </w:t>
      </w:r>
      <w:r>
        <w:t>C/I, Multifamily</w:t>
      </w:r>
    </w:p>
    <w:p w14:paraId="44713A9F" w14:textId="77777777" w:rsidR="006B6FD1" w:rsidRDefault="006B6FD1" w:rsidP="006B6FD1">
      <w:pPr>
        <w:spacing w:after="0"/>
        <w:ind w:left="360" w:firstLine="720"/>
      </w:pPr>
      <w:r>
        <w:rPr>
          <w:b/>
          <w:bCs/>
        </w:rPr>
        <w:t xml:space="preserve">Decarbonization Pathways: </w:t>
      </w:r>
      <w:r w:rsidRPr="00BE2E62">
        <w:t>Alternative Fuels</w:t>
      </w:r>
    </w:p>
    <w:p w14:paraId="46E2AF31" w14:textId="5BF391B5" w:rsidR="006B6FD1" w:rsidRPr="00963504" w:rsidRDefault="006B6FD1" w:rsidP="006B6FD1">
      <w:pPr>
        <w:spacing w:after="0"/>
        <w:ind w:left="1080"/>
      </w:pPr>
      <w:r>
        <w:rPr>
          <w:b/>
          <w:bCs/>
        </w:rPr>
        <w:t xml:space="preserve">Applicable Feedstocks: </w:t>
      </w:r>
      <w:r>
        <w:t>L</w:t>
      </w:r>
      <w:r w:rsidRPr="0023477C">
        <w:t>umber mill wastes</w:t>
      </w:r>
    </w:p>
    <w:p w14:paraId="0167C4F2" w14:textId="77777777" w:rsidR="006B6FD1" w:rsidRDefault="006B6FD1" w:rsidP="006B6FD1">
      <w:pPr>
        <w:pStyle w:val="Heading4"/>
      </w:pPr>
      <w:r>
        <w:t>Measure Description</w:t>
      </w:r>
    </w:p>
    <w:p w14:paraId="39F4382E" w14:textId="4BD92FB7" w:rsidR="00FE0C40" w:rsidRDefault="006B6FD1" w:rsidP="00FE0C40">
      <w:pPr>
        <w:ind w:left="720"/>
      </w:pPr>
      <w:r>
        <w:t>This measure involves the replacement of natural gas, propane, or fuel oil #2</w:t>
      </w:r>
      <w:r w:rsidR="003309E0">
        <w:t xml:space="preserve"> used in the </w:t>
      </w:r>
      <w:r w:rsidR="00A86DE3">
        <w:t xml:space="preserve">commercial or industrial </w:t>
      </w:r>
      <w:r w:rsidR="003309E0">
        <w:t>thermal sector</w:t>
      </w:r>
      <w:r>
        <w:t xml:space="preserve"> with wood chips</w:t>
      </w:r>
      <w:r w:rsidR="003309E0">
        <w:t xml:space="preserve"> produced from</w:t>
      </w:r>
      <w:r w:rsidR="007C41F0">
        <w:t xml:space="preserve"> lumber mill wastes. </w:t>
      </w:r>
      <w:r w:rsidR="00FE0C40">
        <w:t>Wood chips cannot be directly substituted for gaseous or liquid fuels; this measure assumes that the end</w:t>
      </w:r>
      <w:r w:rsidR="00DD134A">
        <w:t>-</w:t>
      </w:r>
      <w:r w:rsidR="00FE0C40">
        <w:t xml:space="preserve">user either </w:t>
      </w:r>
      <w:proofErr w:type="gramStart"/>
      <w:r w:rsidR="00FE0C40">
        <w:t>has the ability to</w:t>
      </w:r>
      <w:proofErr w:type="gramEnd"/>
      <w:r w:rsidR="00FE0C40">
        <w:t xml:space="preserve"> substitute fuels at will (e.g. multiple thermal heating systems) or has made capital investments to replace thermal equipment that uses fossil fuels with thermal equipment that uses wood chips.</w:t>
      </w:r>
    </w:p>
    <w:p w14:paraId="04FB18BD" w14:textId="7DB23379" w:rsidR="006B6FD1" w:rsidRDefault="00CC4847" w:rsidP="006B6FD1">
      <w:pPr>
        <w:ind w:left="720"/>
      </w:pPr>
      <w:r>
        <w:t xml:space="preserve">Greenhouse gas reductions associated with this measure are derived from the difference in </w:t>
      </w:r>
      <w:r w:rsidR="00A86DE3">
        <w:t>carbon intensity values</w:t>
      </w:r>
      <w:r>
        <w:t xml:space="preserve"> (gCO</w:t>
      </w:r>
      <w:r w:rsidRPr="00165D28">
        <w:rPr>
          <w:vertAlign w:val="subscript"/>
        </w:rPr>
        <w:t>2</w:t>
      </w:r>
      <w:r>
        <w:t>e/MJ) between the baseline heating fuel and wood chips</w:t>
      </w:r>
      <w:r w:rsidR="006B6FD1">
        <w:t>.</w:t>
      </w:r>
      <w:r w:rsidR="005B7B2F">
        <w:t xml:space="preserve"> Due to the likely difficulty of verifying existing fuel usage, this measure allows for the use of a blended baseline </w:t>
      </w:r>
      <w:r w:rsidR="00A86DE3">
        <w:t>carbon intensity value</w:t>
      </w:r>
      <w:r w:rsidR="005B7B2F">
        <w:t xml:space="preserve"> that assumes a d</w:t>
      </w:r>
      <w:r w:rsidR="00A86DE3">
        <w:t>ef</w:t>
      </w:r>
      <w:r w:rsidR="005B7B2F">
        <w:t>ault mix of energy sources based on the characteristics of the existing Vermont thermal sector.</w:t>
      </w:r>
    </w:p>
    <w:p w14:paraId="2FF0AD34" w14:textId="77777777" w:rsidR="006B6FD1" w:rsidRDefault="006B6FD1" w:rsidP="006B6FD1">
      <w:pPr>
        <w:ind w:firstLine="720"/>
        <w:rPr>
          <w:b/>
          <w:bCs/>
        </w:rPr>
      </w:pPr>
      <w:r>
        <w:rPr>
          <w:b/>
          <w:bCs/>
        </w:rPr>
        <w:t>Baseline Conditions</w:t>
      </w:r>
    </w:p>
    <w:p w14:paraId="3F317F1D" w14:textId="48CED414" w:rsidR="006B6FD1" w:rsidRDefault="006B6FD1" w:rsidP="006B6FD1">
      <w:pPr>
        <w:ind w:left="720"/>
      </w:pPr>
      <w:r>
        <w:t xml:space="preserve">The baseline condition is </w:t>
      </w:r>
      <w:r w:rsidR="00CC4847">
        <w:t xml:space="preserve">the </w:t>
      </w:r>
      <w:r>
        <w:t>use of natural gas, propane</w:t>
      </w:r>
      <w:bookmarkStart w:id="33" w:name="_Hlk175658792"/>
      <w:r>
        <w:t xml:space="preserve">, or fuel oil #2 </w:t>
      </w:r>
      <w:bookmarkEnd w:id="33"/>
      <w:r>
        <w:t xml:space="preserve">in </w:t>
      </w:r>
      <w:r w:rsidR="00CC4847">
        <w:t xml:space="preserve">the </w:t>
      </w:r>
      <w:r>
        <w:t xml:space="preserve">commercial or industrial </w:t>
      </w:r>
      <w:r w:rsidR="00CC4847">
        <w:t xml:space="preserve">thermal sector that </w:t>
      </w:r>
      <w:r w:rsidR="00A86DE3">
        <w:t xml:space="preserve">is </w:t>
      </w:r>
      <w:r w:rsidR="00CC4847">
        <w:t xml:space="preserve">delivered </w:t>
      </w:r>
      <w:r w:rsidR="00CC4847" w:rsidRPr="00CC4847">
        <w:t>to the end-user through the Vermont natural gas distribution system</w:t>
      </w:r>
      <w:r w:rsidR="00CC4847">
        <w:t>, for natural gas, or a truck delivery service for fuel oil #2 and propane</w:t>
      </w:r>
      <w:r>
        <w:t>.</w:t>
      </w:r>
    </w:p>
    <w:p w14:paraId="68E64034" w14:textId="77777777" w:rsidR="006B6FD1" w:rsidRDefault="006B6FD1" w:rsidP="006B6FD1">
      <w:pPr>
        <w:ind w:firstLine="720"/>
        <w:rPr>
          <w:b/>
          <w:bCs/>
        </w:rPr>
      </w:pPr>
      <w:r>
        <w:rPr>
          <w:b/>
          <w:bCs/>
        </w:rPr>
        <w:t>Proposed Conditions</w:t>
      </w:r>
    </w:p>
    <w:p w14:paraId="643A0A1E" w14:textId="6CFE2BCA" w:rsidR="006B6FD1" w:rsidRDefault="006B6FD1" w:rsidP="006B6FD1">
      <w:pPr>
        <w:ind w:left="720"/>
      </w:pPr>
      <w:r>
        <w:t xml:space="preserve">The proposed </w:t>
      </w:r>
      <w:r w:rsidR="00CC4847" w:rsidRPr="00CC4847">
        <w:t xml:space="preserve">condition is the use of </w:t>
      </w:r>
      <w:r>
        <w:t xml:space="preserve">wood chips </w:t>
      </w:r>
      <w:r w:rsidR="00CC4847">
        <w:t>in the thermal sector that are distributed to end users through a truck delivery service. The w</w:t>
      </w:r>
      <w:r>
        <w:t xml:space="preserve">ood chip </w:t>
      </w:r>
      <w:r w:rsidR="00CC4847">
        <w:t xml:space="preserve">production pathway (and </w:t>
      </w:r>
      <w:r w:rsidR="00CE5F91">
        <w:t>therefore</w:t>
      </w:r>
      <w:r w:rsidR="00CC4847">
        <w:t xml:space="preserve"> carbon intensity value) includes </w:t>
      </w:r>
      <w:r>
        <w:t>feedstock collection</w:t>
      </w:r>
      <w:r w:rsidR="00CC4847">
        <w:t xml:space="preserve"> from lumber mill wastes</w:t>
      </w:r>
      <w:r>
        <w:t xml:space="preserve">, fuel production, and transport of fuels to distributors. The production pathway excludes impacts relating to land use changes. </w:t>
      </w:r>
    </w:p>
    <w:p w14:paraId="21A30B13" w14:textId="4CDB2158" w:rsidR="006B6FD1" w:rsidRDefault="006B6FD1" w:rsidP="006B6FD1">
      <w:pPr>
        <w:ind w:left="720"/>
      </w:pPr>
      <w:r w:rsidRPr="000F1E17">
        <w:t>For wood fuels, it takes significant time</w:t>
      </w:r>
      <w:r>
        <w:t xml:space="preserve"> </w:t>
      </w:r>
      <w:r w:rsidRPr="000F1E17">
        <w:t>for the regrowth of new trees to fully sequester the biogenic carbon emitted during combustion</w:t>
      </w:r>
      <w:r>
        <w:t xml:space="preserve"> of wood fuel</w:t>
      </w:r>
      <w:r w:rsidRPr="000F1E17">
        <w:t>.</w:t>
      </w:r>
      <w:r>
        <w:t xml:space="preserve"> A</w:t>
      </w:r>
      <w:r w:rsidRPr="000F1E17">
        <w:t xml:space="preserve"> </w:t>
      </w:r>
      <w:proofErr w:type="spellStart"/>
      <w:r w:rsidRPr="000F1E17">
        <w:t>GWP</w:t>
      </w:r>
      <w:r w:rsidRPr="000F1E17">
        <w:rPr>
          <w:vertAlign w:val="subscript"/>
        </w:rPr>
        <w:t>bio</w:t>
      </w:r>
      <w:proofErr w:type="spellEnd"/>
      <w:r w:rsidRPr="000F1E17">
        <w:t xml:space="preserve"> </w:t>
      </w:r>
      <w:r>
        <w:t xml:space="preserve">factor of 0.32 is applied </w:t>
      </w:r>
      <w:r w:rsidRPr="000F1E17">
        <w:t>to CO</w:t>
      </w:r>
      <w:r w:rsidRPr="000F1E17">
        <w:rPr>
          <w:vertAlign w:val="subscript"/>
        </w:rPr>
        <w:t>2</w:t>
      </w:r>
      <w:r w:rsidRPr="000F1E17">
        <w:t xml:space="preserve"> combustion emissions </w:t>
      </w:r>
      <w:r>
        <w:t xml:space="preserve">for </w:t>
      </w:r>
      <w:r w:rsidRPr="000F1E17">
        <w:t>wood fuels to account for the regrowth period.</w:t>
      </w:r>
      <w:r w:rsidR="00E71295">
        <w:rPr>
          <w:rStyle w:val="FootnoteReference"/>
        </w:rPr>
        <w:footnoteReference w:id="11"/>
      </w:r>
      <w:r>
        <w:t xml:space="preserve"> </w:t>
      </w:r>
      <w:r w:rsidR="00257E63">
        <w:t>This factor is embedded in the emission rate schedule in &lt;EMISSIONS SCHEDULE&gt; in &lt;FRONT MATTER SECTION&gt;.</w:t>
      </w:r>
    </w:p>
    <w:p w14:paraId="06EC9A25" w14:textId="67DE3754" w:rsidR="006B6FD1" w:rsidRDefault="006B6FD1" w:rsidP="006B6FD1">
      <w:pPr>
        <w:ind w:left="720"/>
      </w:pPr>
      <w:r>
        <w:lastRenderedPageBreak/>
        <w:t>Emissions resulting from the distribution of fuels from the distributor to the end user are presumed equal between the proposed and baseline conditions since truck delivery is assumed in both for propane and fuel oil #2. It is assumed that emission</w:t>
      </w:r>
      <w:r w:rsidR="00A86DE3">
        <w:t>s</w:t>
      </w:r>
      <w:r>
        <w:t xml:space="preserve"> resulting from natural gas pipeline losses are similar enough to truck delivery emissions that the net difference is negligible.</w:t>
      </w:r>
    </w:p>
    <w:p w14:paraId="3DE2206F" w14:textId="0A6C5F34" w:rsidR="006B6FD1" w:rsidRDefault="006B6FD1" w:rsidP="006B6FD1">
      <w:pPr>
        <w:pStyle w:val="Heading4"/>
      </w:pPr>
      <w:r>
        <w:t xml:space="preserve">Eligibility </w:t>
      </w:r>
      <w:r w:rsidR="00941CD9">
        <w:t>Criteria</w:t>
      </w:r>
    </w:p>
    <w:p w14:paraId="05E76022" w14:textId="25626C30" w:rsidR="00D57932" w:rsidRDefault="00D57932" w:rsidP="00D57932">
      <w:r>
        <w:t>This measure characterizes wood chips used in the thermal sector under a certain set of conditions. Specifically:</w:t>
      </w:r>
    </w:p>
    <w:p w14:paraId="2703157F" w14:textId="6A07D93B" w:rsidR="006B6FD1" w:rsidRDefault="006B6FD1" w:rsidP="00941CD9">
      <w:pPr>
        <w:pStyle w:val="ListBullet"/>
        <w:ind w:left="465" w:hanging="285"/>
      </w:pPr>
      <w:r>
        <w:t xml:space="preserve">The </w:t>
      </w:r>
      <w:r w:rsidR="00A86DE3">
        <w:t>carbon intensity value for wood chips</w:t>
      </w:r>
      <w:r>
        <w:t xml:space="preserve"> is characterized </w:t>
      </w:r>
      <w:proofErr w:type="gramStart"/>
      <w:r>
        <w:t>for</w:t>
      </w:r>
      <w:proofErr w:type="gramEnd"/>
      <w:r>
        <w:t xml:space="preserve"> production pathways that reside within the northeast. Wood chips that are imported from outside the </w:t>
      </w:r>
      <w:r w:rsidR="00FE0C40">
        <w:t>N</w:t>
      </w:r>
      <w:r>
        <w:t>ortheast are not eligible for this measure.</w:t>
      </w:r>
      <w:r>
        <w:rPr>
          <w:rStyle w:val="FootnoteReference"/>
        </w:rPr>
        <w:footnoteReference w:id="12"/>
      </w:r>
      <w:r>
        <w:t xml:space="preserve"> </w:t>
      </w:r>
    </w:p>
    <w:p w14:paraId="7F568E5C" w14:textId="6B0769B7" w:rsidR="00D57932" w:rsidRDefault="00D57932" w:rsidP="00941CD9">
      <w:r w:rsidRPr="00D57932">
        <w:t xml:space="preserve">This measure does not characterize the use of </w:t>
      </w:r>
      <w:r>
        <w:t>wood chips</w:t>
      </w:r>
      <w:r w:rsidRPr="00D57932">
        <w:t xml:space="preserve"> in the thermal sector that does not meet </w:t>
      </w:r>
      <w:r w:rsidR="00CE5F91">
        <w:t>this</w:t>
      </w:r>
      <w:r w:rsidR="00CE5F91" w:rsidRPr="00D57932">
        <w:t xml:space="preserve"> </w:t>
      </w:r>
      <w:r w:rsidRPr="00D57932">
        <w:t>above condition</w:t>
      </w:r>
      <w:r w:rsidR="00DD134A">
        <w:t>.</w:t>
      </w:r>
    </w:p>
    <w:p w14:paraId="69CE61F5" w14:textId="0BDAFE5F" w:rsidR="00D57932" w:rsidRDefault="00D57932" w:rsidP="00D57932">
      <w:r>
        <w:t>Certain uses of wood chips are not eligible for clean heat credits:</w:t>
      </w:r>
    </w:p>
    <w:p w14:paraId="2103D8DF" w14:textId="228019EA" w:rsidR="00D57932" w:rsidRDefault="00D57932" w:rsidP="00D57932">
      <w:pPr>
        <w:pStyle w:val="ListBullet"/>
        <w:ind w:left="465" w:hanging="285"/>
      </w:pPr>
      <w:r>
        <w:t xml:space="preserve">Wood chips distributed to an electricity generating unit (EGU) </w:t>
      </w:r>
      <w:r w:rsidR="00D72907">
        <w:t>are</w:t>
      </w:r>
      <w:r>
        <w:t xml:space="preserve"> not part of the thermal sector and </w:t>
      </w:r>
      <w:r w:rsidR="00CE5F91">
        <w:t>therefore</w:t>
      </w:r>
      <w:r>
        <w:t xml:space="preserve"> </w:t>
      </w:r>
      <w:r w:rsidR="00CE5F91">
        <w:t xml:space="preserve">are </w:t>
      </w:r>
      <w:r>
        <w:t>not eligible for clean heat credits.</w:t>
      </w:r>
    </w:p>
    <w:p w14:paraId="33747342" w14:textId="59A00152" w:rsidR="00D57932" w:rsidRDefault="00D57932" w:rsidP="00941CD9">
      <w:pPr>
        <w:pStyle w:val="ListBullet"/>
        <w:ind w:left="465" w:hanging="285"/>
      </w:pPr>
      <w:r>
        <w:t xml:space="preserve">Wood chips distributed to an industrial facility must be verified as being used in the thermal sector. </w:t>
      </w:r>
      <w:r w:rsidR="00FE0C40">
        <w:t>W</w:t>
      </w:r>
      <w:r>
        <w:t xml:space="preserve">ood chips used as a material feedstock in production of a good or otherwise used outside of the thermal sector </w:t>
      </w:r>
      <w:r w:rsidR="00D72907">
        <w:t>are</w:t>
      </w:r>
      <w:r>
        <w:t xml:space="preserve"> ineligible for clean heat credits.</w:t>
      </w:r>
    </w:p>
    <w:p w14:paraId="41EBDB95" w14:textId="5962D3E9" w:rsidR="006B6FD1" w:rsidRDefault="006B6FD1" w:rsidP="006B6FD1">
      <w:pPr>
        <w:pStyle w:val="Heading4"/>
      </w:pPr>
      <w:r w:rsidRPr="00C36178">
        <w:t>Decarbonization</w:t>
      </w:r>
      <w:r>
        <w:t xml:space="preserve"> </w:t>
      </w:r>
      <w:r w:rsidR="00941CD9">
        <w:t>Summary</w:t>
      </w:r>
    </w:p>
    <w:p w14:paraId="1053B661" w14:textId="79928D58" w:rsidR="006B6FD1" w:rsidRDefault="00E71295" w:rsidP="00941CD9">
      <w:r>
        <w:fldChar w:fldCharType="begin"/>
      </w:r>
      <w:r>
        <w:instrText xml:space="preserve"> REF _Ref176253317 \h </w:instrText>
      </w:r>
      <w:r>
        <w:fldChar w:fldCharType="separate"/>
      </w:r>
      <w:r w:rsidR="008F724F">
        <w:t xml:space="preserve">Table </w:t>
      </w:r>
      <w:r w:rsidR="008F724F">
        <w:rPr>
          <w:noProof/>
        </w:rPr>
        <w:t>6</w:t>
      </w:r>
      <w:r>
        <w:fldChar w:fldCharType="end"/>
      </w:r>
      <w:r>
        <w:t xml:space="preserve"> </w:t>
      </w:r>
      <w:r w:rsidR="006B6FD1" w:rsidRPr="00AF1550">
        <w:t xml:space="preserve">provides </w:t>
      </w:r>
      <w:r w:rsidR="006B6FD1">
        <w:t xml:space="preserve">the </w:t>
      </w:r>
      <w:r w:rsidR="006B6FD1" w:rsidRPr="00AF1550">
        <w:t xml:space="preserve">estimated </w:t>
      </w:r>
      <w:r w:rsidR="006B6FD1">
        <w:t xml:space="preserve">2025 decarbonization range for replacement of </w:t>
      </w:r>
      <w:r w:rsidR="007C1EC0">
        <w:t xml:space="preserve">natural gas, </w:t>
      </w:r>
      <w:r w:rsidR="006B6FD1">
        <w:t>propane and fuel oil #2</w:t>
      </w:r>
      <w:r w:rsidR="006B6FD1" w:rsidRPr="0084682F">
        <w:t xml:space="preserve"> with </w:t>
      </w:r>
      <w:r w:rsidR="006B6FD1">
        <w:t>wood chips</w:t>
      </w:r>
      <w:r w:rsidR="006B6FD1" w:rsidRPr="0084682F">
        <w:t>.</w:t>
      </w:r>
      <w:r w:rsidR="007C1EC0" w:rsidRPr="007C1EC0">
        <w:t xml:space="preserve"> These estimates are not inclusive of all eligible conditions; other conditions may be calculated from the algorithms herein.</w:t>
      </w:r>
    </w:p>
    <w:p w14:paraId="0CBE8D5B" w14:textId="01D98DAE" w:rsidR="00B54E5A" w:rsidRDefault="006B6FD1" w:rsidP="00B54E5A">
      <w:pPr>
        <w:pStyle w:val="Caption"/>
      </w:pPr>
      <w:bookmarkStart w:id="34" w:name="_Ref176253317"/>
      <w:r>
        <w:t xml:space="preserve">Table </w:t>
      </w:r>
      <w:r>
        <w:fldChar w:fldCharType="begin"/>
      </w:r>
      <w:r>
        <w:instrText xml:space="preserve"> SEQ Table \* ARABIC </w:instrText>
      </w:r>
      <w:r>
        <w:fldChar w:fldCharType="separate"/>
      </w:r>
      <w:r w:rsidR="008F724F">
        <w:rPr>
          <w:noProof/>
        </w:rPr>
        <w:t>6</w:t>
      </w:r>
      <w:r>
        <w:fldChar w:fldCharType="end"/>
      </w:r>
      <w:bookmarkEnd w:id="34"/>
      <w:r>
        <w:t>.</w:t>
      </w:r>
      <w:r w:rsidRPr="00897C4B">
        <w:t xml:space="preserve"> </w:t>
      </w:r>
      <w:r>
        <w:t xml:space="preserve">Wood </w:t>
      </w:r>
      <w:r w:rsidR="00B54E5A">
        <w:t>C</w:t>
      </w:r>
      <w:r>
        <w:t xml:space="preserve">hip </w:t>
      </w:r>
      <w:r w:rsidRPr="00897C4B">
        <w:t>CO</w:t>
      </w:r>
      <w:r w:rsidRPr="00941CD9">
        <w:rPr>
          <w:vertAlign w:val="subscript"/>
        </w:rPr>
        <w:t>2</w:t>
      </w:r>
      <w:r w:rsidRPr="00897C4B">
        <w:t>e Reductions</w:t>
      </w:r>
    </w:p>
    <w:tbl>
      <w:tblPr>
        <w:tblStyle w:val="ODCBasic-1"/>
        <w:tblW w:w="0" w:type="auto"/>
        <w:tblCellMar>
          <w:top w:w="0" w:type="dxa"/>
          <w:bottom w:w="14" w:type="dxa"/>
        </w:tblCellMar>
        <w:tblLook w:val="04A0" w:firstRow="1" w:lastRow="0" w:firstColumn="1" w:lastColumn="0" w:noHBand="0" w:noVBand="1"/>
      </w:tblPr>
      <w:tblGrid>
        <w:gridCol w:w="1486"/>
        <w:gridCol w:w="1294"/>
        <w:gridCol w:w="1288"/>
        <w:gridCol w:w="2887"/>
      </w:tblGrid>
      <w:tr w:rsidR="00B54E5A" w14:paraId="281458EB" w14:textId="77777777" w:rsidTr="002E75D5">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0" w:type="auto"/>
            <w:tcBorders>
              <w:bottom w:val="single" w:sz="4" w:space="0" w:color="4A4D56" w:themeColor="text1"/>
              <w:right w:val="single" w:sz="4" w:space="0" w:color="4A4D56" w:themeColor="text1"/>
            </w:tcBorders>
          </w:tcPr>
          <w:p w14:paraId="05418DBD" w14:textId="0042825A" w:rsidR="00B54E5A" w:rsidRPr="00625570" w:rsidRDefault="00B54E5A" w:rsidP="001A2AF7">
            <w:pPr>
              <w:pStyle w:val="TableHeadingLeft"/>
            </w:pPr>
            <w:r>
              <w:t>Alternative Fuel</w:t>
            </w:r>
          </w:p>
        </w:tc>
        <w:tc>
          <w:tcPr>
            <w:tcW w:w="0" w:type="auto"/>
            <w:tcBorders>
              <w:left w:val="single" w:sz="4" w:space="0" w:color="4A4D56" w:themeColor="text1"/>
              <w:bottom w:val="single" w:sz="4" w:space="0" w:color="4A4D56" w:themeColor="text1"/>
              <w:right w:val="single" w:sz="4" w:space="0" w:color="4A4D56" w:themeColor="text1"/>
            </w:tcBorders>
          </w:tcPr>
          <w:p w14:paraId="3EE74F8C" w14:textId="2599E094" w:rsidR="00B54E5A" w:rsidRPr="00625570" w:rsidRDefault="00B54E5A" w:rsidP="001A2AF7">
            <w:pPr>
              <w:pStyle w:val="TableHeadingCentered"/>
              <w:cnfStyle w:val="100000000000" w:firstRow="1" w:lastRow="0" w:firstColumn="0" w:lastColumn="0" w:oddVBand="0" w:evenVBand="0" w:oddHBand="0" w:evenHBand="0" w:firstRowFirstColumn="0" w:firstRowLastColumn="0" w:lastRowFirstColumn="0" w:lastRowLastColumn="0"/>
            </w:pPr>
            <w:r>
              <w:t>Baseline Fuel</w:t>
            </w:r>
          </w:p>
        </w:tc>
        <w:tc>
          <w:tcPr>
            <w:tcW w:w="0" w:type="auto"/>
            <w:tcBorders>
              <w:left w:val="single" w:sz="4" w:space="0" w:color="4A4D56" w:themeColor="text1"/>
              <w:bottom w:val="single" w:sz="4" w:space="0" w:color="4A4D56" w:themeColor="text1"/>
              <w:right w:val="single" w:sz="4" w:space="0" w:color="4A4D56" w:themeColor="text1"/>
            </w:tcBorders>
          </w:tcPr>
          <w:p w14:paraId="4AE37710" w14:textId="66C17743" w:rsidR="00B54E5A" w:rsidRPr="00625570" w:rsidRDefault="00B54E5A" w:rsidP="001A2AF7">
            <w:pPr>
              <w:pStyle w:val="TableHeadingCentered"/>
              <w:cnfStyle w:val="100000000000" w:firstRow="1" w:lastRow="0" w:firstColumn="0" w:lastColumn="0" w:oddVBand="0" w:evenVBand="0" w:oddHBand="0" w:evenHBand="0" w:firstRowFirstColumn="0" w:firstRowLastColumn="0" w:lastRowFirstColumn="0" w:lastRowLastColumn="0"/>
            </w:pPr>
            <w:r>
              <w:t>Building Type</w:t>
            </w:r>
          </w:p>
        </w:tc>
        <w:tc>
          <w:tcPr>
            <w:tcW w:w="2887" w:type="dxa"/>
            <w:tcBorders>
              <w:left w:val="single" w:sz="4" w:space="0" w:color="4A4D56" w:themeColor="text1"/>
              <w:bottom w:val="single" w:sz="4" w:space="0" w:color="4A4D56" w:themeColor="text1"/>
              <w:right w:val="single" w:sz="4" w:space="0" w:color="4A4D56" w:themeColor="text1"/>
            </w:tcBorders>
          </w:tcPr>
          <w:p w14:paraId="135B8C6A" w14:textId="6ED20D06" w:rsidR="00B54E5A" w:rsidRPr="00625570" w:rsidRDefault="00B54E5A" w:rsidP="001A2AF7">
            <w:pPr>
              <w:pStyle w:val="TableHeadingCentered"/>
              <w:cnfStyle w:val="100000000000" w:firstRow="1" w:lastRow="0" w:firstColumn="0" w:lastColumn="0" w:oddVBand="0" w:evenVBand="0" w:oddHBand="0" w:evenHBand="0" w:firstRowFirstColumn="0" w:firstRowLastColumn="0" w:lastRowFirstColumn="0" w:lastRowLastColumn="0"/>
            </w:pPr>
            <w:r w:rsidRPr="00B54E5A">
              <w:t xml:space="preserve">CO2e Reduction </w:t>
            </w:r>
            <w:r w:rsidR="00DD134A">
              <w:t xml:space="preserve">per Short Ton </w:t>
            </w:r>
            <w:r w:rsidRPr="00B54E5A">
              <w:t>[gCO</w:t>
            </w:r>
            <w:r w:rsidRPr="002E75D5">
              <w:rPr>
                <w:vertAlign w:val="subscript"/>
              </w:rPr>
              <w:t>2</w:t>
            </w:r>
            <w:r w:rsidRPr="00B54E5A">
              <w:t>e/short ton] in 2025</w:t>
            </w:r>
          </w:p>
        </w:tc>
      </w:tr>
      <w:tr w:rsidR="00B54E5A" w14:paraId="1C5B44F2" w14:textId="77777777" w:rsidTr="002E75D5">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0" w:type="auto"/>
            <w:vMerge w:val="restart"/>
            <w:tcBorders>
              <w:top w:val="single" w:sz="4" w:space="0" w:color="4A4D56" w:themeColor="text1"/>
            </w:tcBorders>
          </w:tcPr>
          <w:p w14:paraId="51819D1E" w14:textId="77777777" w:rsidR="00B54E5A" w:rsidRPr="00625570" w:rsidRDefault="00B54E5A" w:rsidP="00B54E5A">
            <w:pPr>
              <w:pStyle w:val="TableLeftText"/>
            </w:pPr>
            <w:r>
              <w:t>Wood chips</w:t>
            </w:r>
          </w:p>
          <w:p w14:paraId="2FA40491" w14:textId="13F6ACBF" w:rsidR="00B54E5A" w:rsidRPr="00625570" w:rsidRDefault="00B54E5A" w:rsidP="00B54E5A">
            <w:pPr>
              <w:pStyle w:val="TableLeftText"/>
            </w:pPr>
          </w:p>
        </w:tc>
        <w:tc>
          <w:tcPr>
            <w:tcW w:w="0" w:type="auto"/>
            <w:tcBorders>
              <w:top w:val="single" w:sz="4" w:space="0" w:color="4A4D56" w:themeColor="text1"/>
            </w:tcBorders>
          </w:tcPr>
          <w:p w14:paraId="424FF64F" w14:textId="6CACA75C" w:rsidR="00B54E5A" w:rsidRPr="000B7901" w:rsidRDefault="00B54E5A" w:rsidP="00B54E5A">
            <w:pPr>
              <w:pStyle w:val="TableCenterText"/>
              <w:cnfStyle w:val="000000100000" w:firstRow="0" w:lastRow="0" w:firstColumn="0" w:lastColumn="0" w:oddVBand="0" w:evenVBand="0" w:oddHBand="1" w:evenHBand="0" w:firstRowFirstColumn="0" w:firstRowLastColumn="0" w:lastRowFirstColumn="0" w:lastRowLastColumn="0"/>
            </w:pPr>
            <w:r>
              <w:t>Propane</w:t>
            </w:r>
          </w:p>
        </w:tc>
        <w:tc>
          <w:tcPr>
            <w:tcW w:w="0" w:type="auto"/>
            <w:tcBorders>
              <w:top w:val="single" w:sz="4" w:space="0" w:color="4A4D56" w:themeColor="text1"/>
            </w:tcBorders>
          </w:tcPr>
          <w:p w14:paraId="10A9010E" w14:textId="369D6830" w:rsidR="00B54E5A" w:rsidRPr="000B7901" w:rsidRDefault="00B54E5A" w:rsidP="00B54E5A">
            <w:pPr>
              <w:pStyle w:val="TableCenterText"/>
              <w:cnfStyle w:val="000000100000" w:firstRow="0" w:lastRow="0" w:firstColumn="0" w:lastColumn="0" w:oddVBand="0" w:evenVBand="0" w:oddHBand="1" w:evenHBand="0" w:firstRowFirstColumn="0" w:firstRowLastColumn="0" w:lastRowFirstColumn="0" w:lastRowLastColumn="0"/>
            </w:pPr>
            <w:r>
              <w:t>N/A</w:t>
            </w:r>
          </w:p>
        </w:tc>
        <w:tc>
          <w:tcPr>
            <w:tcW w:w="2887" w:type="dxa"/>
            <w:tcBorders>
              <w:top w:val="single" w:sz="4" w:space="0" w:color="4A4D56" w:themeColor="text1"/>
            </w:tcBorders>
          </w:tcPr>
          <w:p w14:paraId="3E9A2D15" w14:textId="4FB2C557" w:rsidR="00B54E5A" w:rsidRPr="000B7901" w:rsidRDefault="00B54E5A" w:rsidP="00B54E5A">
            <w:pPr>
              <w:pStyle w:val="TableCenterText"/>
              <w:jc w:val="right"/>
              <w:cnfStyle w:val="000000100000" w:firstRow="0" w:lastRow="0" w:firstColumn="0" w:lastColumn="0" w:oddVBand="0" w:evenVBand="0" w:oddHBand="1" w:evenHBand="0" w:firstRowFirstColumn="0" w:firstRowLastColumn="0" w:lastRowFirstColumn="0" w:lastRowLastColumn="0"/>
            </w:pPr>
            <w:r w:rsidRPr="00D244CD">
              <w:t>714,330</w:t>
            </w:r>
          </w:p>
        </w:tc>
      </w:tr>
      <w:tr w:rsidR="00B54E5A" w14:paraId="35E0358F" w14:textId="77777777" w:rsidTr="002E75D5">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0" w:type="auto"/>
            <w:vMerge/>
          </w:tcPr>
          <w:p w14:paraId="7470B79A" w14:textId="60A26821" w:rsidR="00B54E5A" w:rsidRPr="00625570" w:rsidRDefault="00B54E5A" w:rsidP="00B54E5A">
            <w:pPr>
              <w:pStyle w:val="TableLeftText"/>
            </w:pPr>
          </w:p>
        </w:tc>
        <w:tc>
          <w:tcPr>
            <w:tcW w:w="0" w:type="auto"/>
          </w:tcPr>
          <w:p w14:paraId="234077EC" w14:textId="18497486" w:rsidR="00B54E5A" w:rsidRPr="000B7901" w:rsidRDefault="00B54E5A" w:rsidP="00B54E5A">
            <w:pPr>
              <w:pStyle w:val="TableCenterText"/>
              <w:cnfStyle w:val="000000010000" w:firstRow="0" w:lastRow="0" w:firstColumn="0" w:lastColumn="0" w:oddVBand="0" w:evenVBand="0" w:oddHBand="0" w:evenHBand="1" w:firstRowFirstColumn="0" w:firstRowLastColumn="0" w:lastRowFirstColumn="0" w:lastRowLastColumn="0"/>
            </w:pPr>
            <w:r>
              <w:t>Fuel oil #2</w:t>
            </w:r>
          </w:p>
        </w:tc>
        <w:tc>
          <w:tcPr>
            <w:tcW w:w="0" w:type="auto"/>
          </w:tcPr>
          <w:p w14:paraId="7B455EA4" w14:textId="5507EAF5" w:rsidR="00B54E5A" w:rsidRPr="000B7901" w:rsidRDefault="00B54E5A" w:rsidP="00B54E5A">
            <w:pPr>
              <w:pStyle w:val="TableCenterText"/>
              <w:cnfStyle w:val="000000010000" w:firstRow="0" w:lastRow="0" w:firstColumn="0" w:lastColumn="0" w:oddVBand="0" w:evenVBand="0" w:oddHBand="0" w:evenHBand="1" w:firstRowFirstColumn="0" w:firstRowLastColumn="0" w:lastRowFirstColumn="0" w:lastRowLastColumn="0"/>
            </w:pPr>
            <w:r>
              <w:t>N/A</w:t>
            </w:r>
          </w:p>
        </w:tc>
        <w:tc>
          <w:tcPr>
            <w:tcW w:w="2887" w:type="dxa"/>
          </w:tcPr>
          <w:p w14:paraId="2F4CA57A" w14:textId="2BCD8E46" w:rsidR="00B54E5A" w:rsidRPr="000B7901" w:rsidRDefault="00B54E5A" w:rsidP="00B54E5A">
            <w:pPr>
              <w:pStyle w:val="TableCenterText"/>
              <w:jc w:val="right"/>
              <w:cnfStyle w:val="000000010000" w:firstRow="0" w:lastRow="0" w:firstColumn="0" w:lastColumn="0" w:oddVBand="0" w:evenVBand="0" w:oddHBand="0" w:evenHBand="1" w:firstRowFirstColumn="0" w:firstRowLastColumn="0" w:lastRowFirstColumn="0" w:lastRowLastColumn="0"/>
            </w:pPr>
            <w:r w:rsidRPr="00D244CD">
              <w:t>877,067</w:t>
            </w:r>
          </w:p>
        </w:tc>
      </w:tr>
      <w:tr w:rsidR="00B54E5A" w14:paraId="6579F492" w14:textId="77777777" w:rsidTr="002E75D5">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0" w:type="auto"/>
            <w:vMerge/>
          </w:tcPr>
          <w:p w14:paraId="757375FA" w14:textId="5D64293C" w:rsidR="00B54E5A" w:rsidRPr="00625570" w:rsidRDefault="00B54E5A" w:rsidP="00B54E5A">
            <w:pPr>
              <w:pStyle w:val="TableLeftText"/>
            </w:pPr>
          </w:p>
        </w:tc>
        <w:tc>
          <w:tcPr>
            <w:tcW w:w="0" w:type="auto"/>
          </w:tcPr>
          <w:p w14:paraId="6981FF83" w14:textId="1C2C9C58" w:rsidR="00B54E5A" w:rsidRPr="000B7901" w:rsidRDefault="00B54E5A" w:rsidP="00B54E5A">
            <w:pPr>
              <w:pStyle w:val="TableCenterText"/>
              <w:cnfStyle w:val="000000100000" w:firstRow="0" w:lastRow="0" w:firstColumn="0" w:lastColumn="0" w:oddVBand="0" w:evenVBand="0" w:oddHBand="1" w:evenHBand="0" w:firstRowFirstColumn="0" w:firstRowLastColumn="0" w:lastRowFirstColumn="0" w:lastRowLastColumn="0"/>
            </w:pPr>
            <w:r>
              <w:t xml:space="preserve">Natural </w:t>
            </w:r>
            <w:r w:rsidR="007C2B16">
              <w:t>gas</w:t>
            </w:r>
          </w:p>
        </w:tc>
        <w:tc>
          <w:tcPr>
            <w:tcW w:w="0" w:type="auto"/>
          </w:tcPr>
          <w:p w14:paraId="3B3442FF" w14:textId="00071524" w:rsidR="00B54E5A" w:rsidRPr="000B7901" w:rsidRDefault="00B54E5A" w:rsidP="00B54E5A">
            <w:pPr>
              <w:pStyle w:val="TableCenterText"/>
              <w:cnfStyle w:val="000000100000" w:firstRow="0" w:lastRow="0" w:firstColumn="0" w:lastColumn="0" w:oddVBand="0" w:evenVBand="0" w:oddHBand="1" w:evenHBand="0" w:firstRowFirstColumn="0" w:firstRowLastColumn="0" w:lastRowFirstColumn="0" w:lastRowLastColumn="0"/>
            </w:pPr>
            <w:r>
              <w:t>N/A</w:t>
            </w:r>
          </w:p>
        </w:tc>
        <w:tc>
          <w:tcPr>
            <w:tcW w:w="2887" w:type="dxa"/>
          </w:tcPr>
          <w:p w14:paraId="5EFAF485" w14:textId="2AC2BD74" w:rsidR="00B54E5A" w:rsidRPr="000B7901" w:rsidRDefault="00B54E5A" w:rsidP="00B54E5A">
            <w:pPr>
              <w:pStyle w:val="TableCenterText"/>
              <w:jc w:val="right"/>
              <w:cnfStyle w:val="000000100000" w:firstRow="0" w:lastRow="0" w:firstColumn="0" w:lastColumn="0" w:oddVBand="0" w:evenVBand="0" w:oddHBand="1" w:evenHBand="0" w:firstRowFirstColumn="0" w:firstRowLastColumn="0" w:lastRowFirstColumn="0" w:lastRowLastColumn="0"/>
            </w:pPr>
            <w:r w:rsidRPr="00D244CD">
              <w:t>544,038</w:t>
            </w:r>
          </w:p>
        </w:tc>
      </w:tr>
      <w:tr w:rsidR="00B54E5A" w14:paraId="2D3D45D2" w14:textId="77777777" w:rsidTr="002E75D5">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0" w:type="auto"/>
            <w:vMerge/>
          </w:tcPr>
          <w:p w14:paraId="12A87330" w14:textId="10F089D5" w:rsidR="00B54E5A" w:rsidRPr="00625570" w:rsidRDefault="00B54E5A" w:rsidP="00B54E5A">
            <w:pPr>
              <w:pStyle w:val="TableLeftText"/>
            </w:pPr>
          </w:p>
        </w:tc>
        <w:tc>
          <w:tcPr>
            <w:tcW w:w="0" w:type="auto"/>
            <w:vMerge w:val="restart"/>
          </w:tcPr>
          <w:p w14:paraId="6357AC5C" w14:textId="0BEAC78A" w:rsidR="00B54E5A" w:rsidRPr="000B7901" w:rsidRDefault="00B54E5A" w:rsidP="00B54E5A">
            <w:pPr>
              <w:pStyle w:val="TableCenterText"/>
              <w:cnfStyle w:val="000000010000" w:firstRow="0" w:lastRow="0" w:firstColumn="0" w:lastColumn="0" w:oddVBand="0" w:evenVBand="0" w:oddHBand="0" w:evenHBand="1" w:firstRowFirstColumn="0" w:firstRowLastColumn="0" w:lastRowFirstColumn="0" w:lastRowLastColumn="0"/>
            </w:pPr>
            <w:r>
              <w:t>Unknown</w:t>
            </w:r>
          </w:p>
        </w:tc>
        <w:tc>
          <w:tcPr>
            <w:tcW w:w="0" w:type="auto"/>
          </w:tcPr>
          <w:p w14:paraId="357C40E8" w14:textId="4B5DE301" w:rsidR="00B54E5A" w:rsidRPr="002E75D5" w:rsidRDefault="00B54E5A" w:rsidP="00B54E5A">
            <w:pPr>
              <w:pStyle w:val="TableCenterText"/>
              <w:cnfStyle w:val="000000010000" w:firstRow="0" w:lastRow="0" w:firstColumn="0" w:lastColumn="0" w:oddVBand="0" w:evenVBand="0" w:oddHBand="0" w:evenHBand="1" w:firstRowFirstColumn="0" w:firstRowLastColumn="0" w:lastRowFirstColumn="0" w:lastRowLastColumn="0"/>
              <w:rPr>
                <w:vertAlign w:val="superscript"/>
              </w:rPr>
            </w:pPr>
            <w:proofErr w:type="spellStart"/>
            <w:r>
              <w:t>Commercial</w:t>
            </w:r>
            <w:r w:rsidR="00CE5F91">
              <w:rPr>
                <w:vertAlign w:val="superscript"/>
              </w:rPr>
              <w:t>a</w:t>
            </w:r>
            <w:proofErr w:type="spellEnd"/>
          </w:p>
        </w:tc>
        <w:tc>
          <w:tcPr>
            <w:tcW w:w="2887" w:type="dxa"/>
          </w:tcPr>
          <w:p w14:paraId="7AD2C4F1" w14:textId="12873E62" w:rsidR="00B54E5A" w:rsidRPr="000B7901" w:rsidRDefault="00B54E5A" w:rsidP="00B54E5A">
            <w:pPr>
              <w:pStyle w:val="TableCenterText"/>
              <w:jc w:val="right"/>
              <w:cnfStyle w:val="000000010000" w:firstRow="0" w:lastRow="0" w:firstColumn="0" w:lastColumn="0" w:oddVBand="0" w:evenVBand="0" w:oddHBand="0" w:evenHBand="1" w:firstRowFirstColumn="0" w:firstRowLastColumn="0" w:lastRowFirstColumn="0" w:lastRowLastColumn="0"/>
            </w:pPr>
            <w:r w:rsidRPr="00067139">
              <w:t>575,224</w:t>
            </w:r>
          </w:p>
        </w:tc>
      </w:tr>
      <w:tr w:rsidR="00B54E5A" w14:paraId="63E793F2" w14:textId="77777777" w:rsidTr="002E75D5">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0" w:type="auto"/>
            <w:vMerge/>
          </w:tcPr>
          <w:p w14:paraId="22AC5DCD" w14:textId="3C4A22A3" w:rsidR="00B54E5A" w:rsidRPr="00625570" w:rsidRDefault="00B54E5A" w:rsidP="00B54E5A">
            <w:pPr>
              <w:pStyle w:val="TableLeftText"/>
            </w:pPr>
          </w:p>
        </w:tc>
        <w:tc>
          <w:tcPr>
            <w:tcW w:w="0" w:type="auto"/>
            <w:vMerge/>
          </w:tcPr>
          <w:p w14:paraId="499747DE" w14:textId="77777777" w:rsidR="00B54E5A" w:rsidRPr="000B7901" w:rsidRDefault="00B54E5A" w:rsidP="00B54E5A">
            <w:pPr>
              <w:pStyle w:val="TableCenterText"/>
              <w:cnfStyle w:val="000000100000" w:firstRow="0" w:lastRow="0" w:firstColumn="0" w:lastColumn="0" w:oddVBand="0" w:evenVBand="0" w:oddHBand="1" w:evenHBand="0" w:firstRowFirstColumn="0" w:firstRowLastColumn="0" w:lastRowFirstColumn="0" w:lastRowLastColumn="0"/>
            </w:pPr>
          </w:p>
        </w:tc>
        <w:tc>
          <w:tcPr>
            <w:tcW w:w="0" w:type="auto"/>
          </w:tcPr>
          <w:p w14:paraId="4BACEF4B" w14:textId="6970F4EA" w:rsidR="00B54E5A" w:rsidRPr="000B7901" w:rsidRDefault="00B54E5A" w:rsidP="00B54E5A">
            <w:pPr>
              <w:pStyle w:val="TableCenterText"/>
              <w:cnfStyle w:val="000000100000" w:firstRow="0" w:lastRow="0" w:firstColumn="0" w:lastColumn="0" w:oddVBand="0" w:evenVBand="0" w:oddHBand="1" w:evenHBand="0" w:firstRowFirstColumn="0" w:firstRowLastColumn="0" w:lastRowFirstColumn="0" w:lastRowLastColumn="0"/>
            </w:pPr>
            <w:r>
              <w:t>Industrial</w:t>
            </w:r>
          </w:p>
        </w:tc>
        <w:tc>
          <w:tcPr>
            <w:tcW w:w="2887" w:type="dxa"/>
          </w:tcPr>
          <w:p w14:paraId="4464F819" w14:textId="2D70A181" w:rsidR="00B54E5A" w:rsidRPr="000B7901" w:rsidRDefault="00B54E5A" w:rsidP="00B54E5A">
            <w:pPr>
              <w:pStyle w:val="TableCenterText"/>
              <w:jc w:val="right"/>
              <w:cnfStyle w:val="000000100000" w:firstRow="0" w:lastRow="0" w:firstColumn="0" w:lastColumn="0" w:oddVBand="0" w:evenVBand="0" w:oddHBand="1" w:evenHBand="0" w:firstRowFirstColumn="0" w:firstRowLastColumn="0" w:lastRowFirstColumn="0" w:lastRowLastColumn="0"/>
            </w:pPr>
            <w:r w:rsidRPr="00067139">
              <w:t>489,981</w:t>
            </w:r>
          </w:p>
        </w:tc>
      </w:tr>
    </w:tbl>
    <w:p w14:paraId="313E1A71" w14:textId="492BA604" w:rsidR="00B54E5A" w:rsidRDefault="00B54E5A" w:rsidP="002E75D5">
      <w:pPr>
        <w:spacing w:after="0"/>
        <w:ind w:left="2070"/>
        <w:rPr>
          <w:i/>
          <w:iCs/>
          <w:sz w:val="18"/>
          <w:szCs w:val="18"/>
        </w:rPr>
      </w:pPr>
      <w:r w:rsidRPr="006B67BD">
        <w:rPr>
          <w:sz w:val="18"/>
          <w:szCs w:val="18"/>
          <w:vertAlign w:val="superscript"/>
        </w:rPr>
        <w:t>a</w:t>
      </w:r>
      <w:r>
        <w:rPr>
          <w:sz w:val="18"/>
          <w:szCs w:val="18"/>
          <w:vertAlign w:val="superscript"/>
        </w:rPr>
        <w:t xml:space="preserve"> </w:t>
      </w:r>
      <w:r w:rsidRPr="006B67BD">
        <w:rPr>
          <w:sz w:val="18"/>
          <w:szCs w:val="18"/>
        </w:rPr>
        <w:t>Commercial includes multifamily common area</w:t>
      </w:r>
      <w:r w:rsidRPr="009B0103">
        <w:rPr>
          <w:i/>
          <w:iCs/>
          <w:sz w:val="18"/>
          <w:szCs w:val="18"/>
        </w:rPr>
        <w:t xml:space="preserve"> </w:t>
      </w:r>
    </w:p>
    <w:p w14:paraId="3FC5ECDA" w14:textId="1F123FCD" w:rsidR="006B6FD1" w:rsidRDefault="006B6FD1" w:rsidP="006B6FD1">
      <w:pPr>
        <w:pStyle w:val="Heading4"/>
      </w:pPr>
      <w:r>
        <w:t xml:space="preserve">Decarbonization </w:t>
      </w:r>
      <w:r w:rsidRPr="00AF1550">
        <w:t xml:space="preserve">and Energy </w:t>
      </w:r>
      <w:r w:rsidR="00941CD9">
        <w:t>I</w:t>
      </w:r>
      <w:r w:rsidR="00941CD9" w:rsidRPr="00AF1550">
        <w:t xml:space="preserve">mpacts </w:t>
      </w:r>
      <w:r>
        <w:t>Algorithms</w:t>
      </w:r>
    </w:p>
    <w:p w14:paraId="1E852798" w14:textId="25C1F629" w:rsidR="00D57932" w:rsidRPr="00AF1550" w:rsidRDefault="00D57932" w:rsidP="00D57932">
      <w:r w:rsidRPr="00AF1550">
        <w:tab/>
        <w:t>CO</w:t>
      </w:r>
      <w:r w:rsidRPr="007A6B38">
        <w:rPr>
          <w:vertAlign w:val="subscript"/>
        </w:rPr>
        <w:t>2</w:t>
      </w:r>
      <w:r w:rsidRPr="00AF1550">
        <w:t>e (gCO</w:t>
      </w:r>
      <w:r>
        <w:rPr>
          <w:vertAlign w:val="subscript"/>
        </w:rPr>
        <w:t>2</w:t>
      </w:r>
      <w:r w:rsidRPr="00AF1550">
        <w:t xml:space="preserve">e) = </w:t>
      </w:r>
      <m:oMath>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base</m:t>
                </m:r>
              </m:sub>
            </m:sSub>
            <m:r>
              <w:rPr>
                <w:rFonts w:ascii="Cambria Math" w:hAnsi="Cambria Math"/>
              </w:rPr>
              <m:t>-</m:t>
            </m:r>
            <m:sSub>
              <m:sSubPr>
                <m:ctrlPr>
                  <w:rPr>
                    <w:rFonts w:ascii="Cambria Math" w:hAnsi="Cambria Math"/>
                    <w:i/>
                  </w:rPr>
                </m:ctrlPr>
              </m:sSubPr>
              <m:e>
                <m:r>
                  <w:rPr>
                    <w:rFonts w:ascii="Cambria Math" w:hAnsi="Cambria Math"/>
                  </w:rPr>
                  <m:t>CI</m:t>
                </m:r>
              </m:e>
              <m:sub>
                <m:r>
                  <w:rPr>
                    <w:rFonts w:ascii="Cambria Math" w:hAnsi="Cambria Math"/>
                  </w:rPr>
                  <m:t>prop</m:t>
                </m:r>
              </m:sub>
            </m:sSub>
          </m:e>
        </m:d>
        <m:r>
          <w:rPr>
            <w:rFonts w:ascii="Cambria Math" w:hAnsi="Cambria Math"/>
          </w:rPr>
          <m:t>×E</m:t>
        </m:r>
      </m:oMath>
    </w:p>
    <w:p w14:paraId="123A693B" w14:textId="2988138F" w:rsidR="002203CC" w:rsidRDefault="00A86DE3" w:rsidP="002203CC">
      <w:pPr>
        <w:ind w:left="1440"/>
      </w:pPr>
      <w:proofErr w:type="spellStart"/>
      <w:r>
        <w:lastRenderedPageBreak/>
        <w:t>CI</w:t>
      </w:r>
      <w:r w:rsidRPr="00AF1550">
        <w:rPr>
          <w:vertAlign w:val="subscript"/>
        </w:rPr>
        <w:t>base</w:t>
      </w:r>
      <w:proofErr w:type="spellEnd"/>
      <w:r w:rsidRPr="00AF1550">
        <w:t xml:space="preserve"> </w:t>
      </w:r>
      <w:r w:rsidR="00D57932" w:rsidRPr="00AF1550">
        <w:t xml:space="preserve">= </w:t>
      </w:r>
      <w:r w:rsidR="005F7DB1">
        <w:t>Baseline fuel</w:t>
      </w:r>
      <w:r w:rsidR="00D57932">
        <w:t xml:space="preserve"> </w:t>
      </w:r>
      <w:r>
        <w:t>carbon intensity value</w:t>
      </w:r>
      <w:r w:rsidR="00D57932">
        <w:t xml:space="preserve"> </w:t>
      </w:r>
      <w:r w:rsidR="00DD134A">
        <w:t>(</w:t>
      </w:r>
      <w:r w:rsidR="00D57932">
        <w:t>gCO</w:t>
      </w:r>
      <w:r w:rsidR="00D57932" w:rsidRPr="0041296A">
        <w:rPr>
          <w:vertAlign w:val="subscript"/>
        </w:rPr>
        <w:t>2</w:t>
      </w:r>
      <w:r w:rsidR="00D57932" w:rsidRPr="00A45E83">
        <w:t>e</w:t>
      </w:r>
      <w:r w:rsidR="00D57932">
        <w:t>/MJ</w:t>
      </w:r>
      <w:r w:rsidR="00DD134A">
        <w:t xml:space="preserve">). </w:t>
      </w:r>
      <w:r w:rsidR="00D57932">
        <w:t xml:space="preserve">Varies by </w:t>
      </w:r>
      <w:r w:rsidR="005F7DB1">
        <w:t xml:space="preserve">fuel and </w:t>
      </w:r>
      <w:r w:rsidR="00D57932">
        <w:t>year;</w:t>
      </w:r>
      <w:r w:rsidR="00257E63">
        <w:t xml:space="preserve"> see &lt;EMISSIONS SCHEDULE&gt; in &lt;FRONT MATTER SECTION&gt;.</w:t>
      </w:r>
      <w:r w:rsidR="005F7DB1">
        <w:t xml:space="preserve"> </w:t>
      </w:r>
      <w:r w:rsidR="002203CC">
        <w:t xml:space="preserve">If the baseline fuel is unknown, calculate a weighted </w:t>
      </w:r>
      <w:proofErr w:type="spellStart"/>
      <w:r>
        <w:t>CI</w:t>
      </w:r>
      <w:r w:rsidRPr="008D1B9B">
        <w:rPr>
          <w:vertAlign w:val="subscript"/>
        </w:rPr>
        <w:t>base</w:t>
      </w:r>
      <w:proofErr w:type="spellEnd"/>
      <w:r>
        <w:t xml:space="preserve"> </w:t>
      </w:r>
      <w:r w:rsidR="002203CC">
        <w:t xml:space="preserve">using the formula below and the heating fuel mix in </w:t>
      </w:r>
      <w:r w:rsidR="002203CC">
        <w:fldChar w:fldCharType="begin"/>
      </w:r>
      <w:r w:rsidR="002203CC">
        <w:instrText xml:space="preserve"> REF _Ref176258989 \h </w:instrText>
      </w:r>
      <w:r w:rsidR="002203CC">
        <w:fldChar w:fldCharType="separate"/>
      </w:r>
      <w:r w:rsidR="008F724F">
        <w:t xml:space="preserve">Table </w:t>
      </w:r>
      <w:r w:rsidR="008F724F">
        <w:rPr>
          <w:noProof/>
        </w:rPr>
        <w:t>7</w:t>
      </w:r>
      <w:r w:rsidR="002203CC">
        <w:fldChar w:fldCharType="end"/>
      </w:r>
      <w:r w:rsidR="002203CC">
        <w:t xml:space="preserve"> for the applicable building type and the corresponding baseline fuel </w:t>
      </w:r>
      <w:r w:rsidR="00DD134A">
        <w:t>carbon intensity value</w:t>
      </w:r>
      <w:r>
        <w:t xml:space="preserve"> </w:t>
      </w:r>
      <w:r w:rsidR="002203CC">
        <w:t xml:space="preserve">from </w:t>
      </w:r>
      <w:r w:rsidR="00257E63">
        <w:t>&lt;EMISSIONS SCHEDULE&gt; in &lt;FRONT MATTER SECTION&gt;</w:t>
      </w:r>
      <w:r w:rsidR="002203CC">
        <w:t>.</w:t>
      </w:r>
    </w:p>
    <w:p w14:paraId="65E3AFAF" w14:textId="417FE881" w:rsidR="002203CC" w:rsidRDefault="00A86DE3" w:rsidP="002203CC">
      <w:pPr>
        <w:ind w:left="1440"/>
      </w:pPr>
      <w:proofErr w:type="spellStart"/>
      <w:r>
        <w:t>CI</w:t>
      </w:r>
      <w:r w:rsidRPr="00941CD9">
        <w:rPr>
          <w:vertAlign w:val="subscript"/>
        </w:rPr>
        <w:t>base</w:t>
      </w:r>
      <w:proofErr w:type="spellEnd"/>
      <w:r>
        <w:t xml:space="preserve"> </w:t>
      </w:r>
      <w:r w:rsidR="002203CC">
        <w:t xml:space="preserve">= </w:t>
      </w:r>
      <m:oMath>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fueloil</m:t>
                </m:r>
              </m:sub>
            </m:sSub>
            <m:r>
              <w:rPr>
                <w:rFonts w:ascii="Cambria Math" w:hAnsi="Cambria Math"/>
              </w:rPr>
              <m:t>×%FuelOil</m:t>
            </m:r>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propane</m:t>
                </m:r>
              </m:sub>
            </m:sSub>
            <m:r>
              <w:rPr>
                <w:rFonts w:ascii="Cambria Math" w:hAnsi="Cambria Math"/>
              </w:rPr>
              <m:t>×%Propane</m:t>
            </m:r>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naturalgas</m:t>
                </m:r>
              </m:sub>
            </m:sSub>
            <m:r>
              <w:rPr>
                <w:rFonts w:ascii="Cambria Math" w:hAnsi="Cambria Math"/>
              </w:rPr>
              <m:t>×%NaturalGas</m:t>
            </m:r>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electricity</m:t>
                </m:r>
              </m:sub>
            </m:sSub>
            <m:r>
              <w:rPr>
                <w:rFonts w:ascii="Cambria Math" w:hAnsi="Cambria Math"/>
              </w:rPr>
              <m:t>×%Electricity</m:t>
            </m:r>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coal</m:t>
                </m:r>
              </m:sub>
            </m:sSub>
            <m:r>
              <w:rPr>
                <w:rFonts w:ascii="Cambria Math" w:hAnsi="Cambria Math"/>
              </w:rPr>
              <m:t>×%Coal</m:t>
            </m:r>
          </m:e>
        </m:d>
      </m:oMath>
    </w:p>
    <w:p w14:paraId="1BF7DDE3" w14:textId="687C240E" w:rsidR="00880BF7" w:rsidRDefault="00880BF7" w:rsidP="00941CD9">
      <w:pPr>
        <w:ind w:left="2880"/>
      </w:pPr>
      <w:r>
        <w:t>%</w:t>
      </w:r>
      <w:proofErr w:type="spellStart"/>
      <w:r>
        <w:t>FuelOil</w:t>
      </w:r>
      <w:proofErr w:type="spellEnd"/>
      <w:r>
        <w:t xml:space="preserve">, etc. = Relative proportion of fuel in Vermont’s </w:t>
      </w:r>
      <w:r w:rsidR="001B0413">
        <w:t xml:space="preserve">thermal sector </w:t>
      </w:r>
      <w:r>
        <w:rPr>
          <w:rFonts w:asciiTheme="minorHAnsi" w:hAnsiTheme="minorHAnsi" w:cs="Calibri"/>
        </w:rPr>
        <w:t xml:space="preserve">(see </w:t>
      </w:r>
      <w:r>
        <w:rPr>
          <w:rFonts w:asciiTheme="minorHAnsi" w:hAnsiTheme="minorHAnsi" w:cs="Calibri"/>
        </w:rPr>
        <w:fldChar w:fldCharType="begin"/>
      </w:r>
      <w:r>
        <w:rPr>
          <w:rFonts w:asciiTheme="minorHAnsi" w:hAnsiTheme="minorHAnsi" w:cs="Calibri"/>
        </w:rPr>
        <w:instrText xml:space="preserve"> REF _Ref176258989 \h </w:instrText>
      </w:r>
      <w:r>
        <w:rPr>
          <w:rFonts w:asciiTheme="minorHAnsi" w:hAnsiTheme="minorHAnsi" w:cs="Calibri"/>
        </w:rPr>
      </w:r>
      <w:r>
        <w:rPr>
          <w:rFonts w:asciiTheme="minorHAnsi" w:hAnsiTheme="minorHAnsi" w:cs="Calibri"/>
        </w:rPr>
        <w:fldChar w:fldCharType="separate"/>
      </w:r>
      <w:r w:rsidR="008F724F">
        <w:t xml:space="preserve">Table </w:t>
      </w:r>
      <w:r w:rsidR="008F724F">
        <w:rPr>
          <w:noProof/>
        </w:rPr>
        <w:t>7</w:t>
      </w:r>
      <w:r>
        <w:rPr>
          <w:rFonts w:asciiTheme="minorHAnsi" w:hAnsiTheme="minorHAnsi" w:cs="Calibri"/>
        </w:rPr>
        <w:fldChar w:fldCharType="end"/>
      </w:r>
      <w:r>
        <w:rPr>
          <w:rFonts w:asciiTheme="minorHAnsi" w:hAnsiTheme="minorHAnsi" w:cs="Calibri"/>
        </w:rPr>
        <w:t>)</w:t>
      </w:r>
      <w:r w:rsidR="00CE5F91">
        <w:rPr>
          <w:rFonts w:asciiTheme="minorHAnsi" w:hAnsiTheme="minorHAnsi" w:cs="Calibri"/>
        </w:rPr>
        <w:t>.</w:t>
      </w:r>
    </w:p>
    <w:p w14:paraId="66E1F130" w14:textId="78C3534F" w:rsidR="00880BF7" w:rsidRPr="00880BF7" w:rsidRDefault="00A86DE3" w:rsidP="00941CD9">
      <w:pPr>
        <w:ind w:left="2880"/>
      </w:pPr>
      <w:proofErr w:type="spellStart"/>
      <w:r>
        <w:t>CI</w:t>
      </w:r>
      <w:r w:rsidR="00880BF7">
        <w:rPr>
          <w:vertAlign w:val="subscript"/>
        </w:rPr>
        <w:t>fueloil</w:t>
      </w:r>
      <w:proofErr w:type="spellEnd"/>
      <w:r w:rsidR="00880BF7">
        <w:t xml:space="preserve">, etc. = </w:t>
      </w:r>
      <w:r>
        <w:t>Carbon intensity value</w:t>
      </w:r>
      <w:r w:rsidR="00880BF7">
        <w:t xml:space="preserve"> </w:t>
      </w:r>
      <w:r w:rsidR="00DD134A">
        <w:t>(</w:t>
      </w:r>
      <w:r w:rsidR="00880BF7" w:rsidRPr="00880BF7">
        <w:t>gCO</w:t>
      </w:r>
      <w:r w:rsidR="00880BF7" w:rsidRPr="002E75D5">
        <w:rPr>
          <w:vertAlign w:val="subscript"/>
        </w:rPr>
        <w:t>2</w:t>
      </w:r>
      <w:r w:rsidR="00880BF7" w:rsidRPr="00880BF7">
        <w:t>e/MJ</w:t>
      </w:r>
      <w:r w:rsidR="00DD134A">
        <w:t>)</w:t>
      </w:r>
      <w:r w:rsidR="00880BF7" w:rsidRPr="00880BF7">
        <w:t xml:space="preserve"> for each fuel</w:t>
      </w:r>
      <w:r w:rsidR="00880BF7">
        <w:t>,</w:t>
      </w:r>
      <w:r w:rsidR="00880BF7" w:rsidRPr="00880BF7">
        <w:t xml:space="preserve"> </w:t>
      </w:r>
      <w:r w:rsidR="00880BF7">
        <w:t>see</w:t>
      </w:r>
      <w:r w:rsidR="00257E63">
        <w:t>&lt;EMISSIONS SCHEDULE&gt; in &lt;FRONT MATTER SECTION&gt;</w:t>
      </w:r>
      <w:r w:rsidR="00880BF7">
        <w:t>.</w:t>
      </w:r>
    </w:p>
    <w:p w14:paraId="6AD7AFB4" w14:textId="193C502C" w:rsidR="002203CC" w:rsidRDefault="002203CC" w:rsidP="00813BC9">
      <w:pPr>
        <w:pStyle w:val="Caption"/>
      </w:pPr>
      <w:bookmarkStart w:id="35" w:name="_Ref176258989"/>
      <w:r>
        <w:t xml:space="preserve">Table </w:t>
      </w:r>
      <w:r>
        <w:fldChar w:fldCharType="begin"/>
      </w:r>
      <w:r>
        <w:instrText xml:space="preserve"> SEQ Table \* ARABIC </w:instrText>
      </w:r>
      <w:r>
        <w:fldChar w:fldCharType="separate"/>
      </w:r>
      <w:r w:rsidR="008F724F">
        <w:rPr>
          <w:noProof/>
        </w:rPr>
        <w:t>7</w:t>
      </w:r>
      <w:r>
        <w:fldChar w:fldCharType="end"/>
      </w:r>
      <w:bookmarkEnd w:id="35"/>
      <w:r>
        <w:t xml:space="preserve">. </w:t>
      </w:r>
      <w:r w:rsidRPr="002203CC">
        <w:t xml:space="preserve">Vermont Primary Heating Fuel Mix, </w:t>
      </w:r>
      <w:r w:rsidR="003B3CE2">
        <w:t>Commercial</w:t>
      </w:r>
      <w:r w:rsidR="000A3374">
        <w:t xml:space="preserve"> </w:t>
      </w:r>
      <w:r w:rsidR="003B3CE2">
        <w:t>and Industrial Sectors</w:t>
      </w:r>
      <w:r w:rsidR="001B0413" w:rsidRPr="00941CD9">
        <w:rPr>
          <w:rStyle w:val="FootnoteReference"/>
          <w:rFonts w:asciiTheme="minorHAnsi" w:hAnsiTheme="minorHAnsi" w:cs="Calibri"/>
        </w:rPr>
        <w:footnoteReference w:id="13"/>
      </w:r>
      <w:r w:rsidR="001B0413" w:rsidRPr="00941CD9">
        <w:rPr>
          <w:vertAlign w:val="superscript"/>
        </w:rPr>
        <w:t>,</w:t>
      </w:r>
      <w:r w:rsidR="001B0413" w:rsidRPr="001B0413">
        <w:rPr>
          <w:rStyle w:val="FootnoteReference"/>
        </w:rPr>
        <w:footnoteReference w:id="14"/>
      </w:r>
    </w:p>
    <w:tbl>
      <w:tblPr>
        <w:tblStyle w:val="TableGrid"/>
        <w:tblW w:w="0" w:type="auto"/>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Look w:val="04A0" w:firstRow="1" w:lastRow="0" w:firstColumn="1" w:lastColumn="0" w:noHBand="0" w:noVBand="1"/>
      </w:tblPr>
      <w:tblGrid>
        <w:gridCol w:w="1440"/>
        <w:gridCol w:w="1446"/>
        <w:gridCol w:w="1440"/>
      </w:tblGrid>
      <w:tr w:rsidR="002203CC" w14:paraId="20C0E4A2" w14:textId="77777777" w:rsidTr="008F724F">
        <w:trPr>
          <w:cnfStyle w:val="100000000000" w:firstRow="1" w:lastRow="0" w:firstColumn="0" w:lastColumn="0" w:oddVBand="0" w:evenVBand="0" w:oddHBand="0" w:evenHBand="0" w:firstRowFirstColumn="0" w:firstRowLastColumn="0" w:lastRowFirstColumn="0" w:lastRowLastColumn="0"/>
          <w:trHeight w:val="159"/>
        </w:trPr>
        <w:tc>
          <w:tcPr>
            <w:cnfStyle w:val="001000000000" w:firstRow="0" w:lastRow="0" w:firstColumn="1" w:lastColumn="0" w:oddVBand="0" w:evenVBand="0" w:oddHBand="0" w:evenHBand="0" w:firstRowFirstColumn="0" w:firstRowLastColumn="0" w:lastRowFirstColumn="0" w:lastRowLastColumn="0"/>
            <w:tcW w:w="1440" w:type="dxa"/>
            <w:vMerge w:val="restart"/>
            <w:tcBorders>
              <w:top w:val="none" w:sz="0" w:space="0" w:color="auto"/>
              <w:left w:val="none" w:sz="0" w:space="0" w:color="auto"/>
              <w:bottom w:val="none" w:sz="0" w:space="0" w:color="auto"/>
              <w:right w:val="none" w:sz="0" w:space="0" w:color="auto"/>
            </w:tcBorders>
          </w:tcPr>
          <w:p w14:paraId="6F7C7224" w14:textId="77777777" w:rsidR="002203CC" w:rsidRPr="00944151" w:rsidRDefault="002203CC" w:rsidP="008D1B9B">
            <w:pPr>
              <w:jc w:val="left"/>
              <w:rPr>
                <w:rFonts w:asciiTheme="majorHAnsi" w:hAnsiTheme="majorHAnsi"/>
                <w:color w:val="FFFFFF" w:themeColor="background1"/>
              </w:rPr>
            </w:pPr>
            <w:r>
              <w:rPr>
                <w:rFonts w:asciiTheme="majorHAnsi" w:hAnsiTheme="majorHAnsi"/>
                <w:color w:val="FFFFFF" w:themeColor="background1"/>
              </w:rPr>
              <w:t>Heating Fuel</w:t>
            </w:r>
          </w:p>
        </w:tc>
        <w:tc>
          <w:tcPr>
            <w:tcW w:w="2886" w:type="dxa"/>
            <w:gridSpan w:val="2"/>
            <w:tcBorders>
              <w:bottom w:val="none" w:sz="0" w:space="0" w:color="auto"/>
            </w:tcBorders>
          </w:tcPr>
          <w:p w14:paraId="1433C2B2" w14:textId="6DE05023" w:rsidR="002203CC" w:rsidRPr="00944151" w:rsidRDefault="002203CC" w:rsidP="008D1B9B">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themeColor="background1"/>
              </w:rPr>
            </w:pPr>
            <w:r>
              <w:rPr>
                <w:rFonts w:asciiTheme="majorHAnsi" w:hAnsiTheme="majorHAnsi"/>
                <w:color w:val="FFFFFF" w:themeColor="background1"/>
              </w:rPr>
              <w:t xml:space="preserve">Building </w:t>
            </w:r>
            <w:r w:rsidR="001B0413">
              <w:rPr>
                <w:rFonts w:asciiTheme="majorHAnsi" w:hAnsiTheme="majorHAnsi"/>
                <w:color w:val="FFFFFF" w:themeColor="background1"/>
              </w:rPr>
              <w:t>Sector</w:t>
            </w:r>
          </w:p>
        </w:tc>
      </w:tr>
      <w:tr w:rsidR="004828BA" w14:paraId="507CEF4F" w14:textId="77777777" w:rsidTr="008F724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440" w:type="dxa"/>
            <w:vMerge/>
            <w:tcBorders>
              <w:top w:val="none" w:sz="0" w:space="0" w:color="auto"/>
              <w:left w:val="none" w:sz="0" w:space="0" w:color="auto"/>
              <w:bottom w:val="none" w:sz="0" w:space="0" w:color="auto"/>
              <w:right w:val="none" w:sz="0" w:space="0" w:color="auto"/>
            </w:tcBorders>
          </w:tcPr>
          <w:p w14:paraId="230FD6A5" w14:textId="77777777" w:rsidR="004828BA" w:rsidRPr="00944151" w:rsidRDefault="004828BA" w:rsidP="007C41F0">
            <w:pPr>
              <w:rPr>
                <w:rFonts w:asciiTheme="majorHAnsi" w:hAnsiTheme="majorHAnsi"/>
                <w:color w:val="FFFFFF" w:themeColor="background1"/>
              </w:rPr>
            </w:pPr>
          </w:p>
        </w:tc>
        <w:tc>
          <w:tcPr>
            <w:tcW w:w="1446" w:type="dxa"/>
            <w:tcBorders>
              <w:top w:val="none" w:sz="0" w:space="0" w:color="auto"/>
              <w:left w:val="none" w:sz="0" w:space="0" w:color="auto"/>
              <w:bottom w:val="none" w:sz="0" w:space="0" w:color="auto"/>
              <w:right w:val="none" w:sz="0" w:space="0" w:color="auto"/>
            </w:tcBorders>
            <w:shd w:val="clear" w:color="auto" w:fill="053572" w:themeFill="text2"/>
          </w:tcPr>
          <w:p w14:paraId="6DC57AB0" w14:textId="235AB36B" w:rsidR="004828BA" w:rsidRPr="00944151" w:rsidRDefault="004828BA" w:rsidP="007C41F0">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olor w:val="FFFFFF" w:themeColor="background1"/>
              </w:rPr>
            </w:pPr>
            <w:proofErr w:type="spellStart"/>
            <w:r>
              <w:rPr>
                <w:rFonts w:asciiTheme="majorHAnsi" w:hAnsiTheme="majorHAnsi"/>
                <w:color w:val="FFFFFF" w:themeColor="background1"/>
              </w:rPr>
              <w:t>Commercial</w:t>
            </w:r>
            <w:r w:rsidR="000A3374" w:rsidRPr="00941CD9">
              <w:rPr>
                <w:rFonts w:asciiTheme="majorHAnsi" w:hAnsiTheme="majorHAnsi"/>
                <w:color w:val="FFFFFF" w:themeColor="background1"/>
                <w:vertAlign w:val="superscript"/>
              </w:rPr>
              <w:t>a</w:t>
            </w:r>
            <w:proofErr w:type="spellEnd"/>
          </w:p>
        </w:tc>
        <w:tc>
          <w:tcPr>
            <w:tcW w:w="1440" w:type="dxa"/>
            <w:tcBorders>
              <w:top w:val="none" w:sz="0" w:space="0" w:color="auto"/>
              <w:left w:val="none" w:sz="0" w:space="0" w:color="auto"/>
              <w:bottom w:val="none" w:sz="0" w:space="0" w:color="auto"/>
              <w:right w:val="none" w:sz="0" w:space="0" w:color="auto"/>
            </w:tcBorders>
            <w:shd w:val="clear" w:color="auto" w:fill="053572" w:themeFill="text2"/>
          </w:tcPr>
          <w:p w14:paraId="4C00A9BF" w14:textId="7E217613" w:rsidR="004828BA" w:rsidRPr="00944151" w:rsidRDefault="004828BA" w:rsidP="007C41F0">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olor w:val="FFFFFF" w:themeColor="background1"/>
              </w:rPr>
            </w:pPr>
            <w:r>
              <w:rPr>
                <w:rFonts w:asciiTheme="majorHAnsi" w:hAnsiTheme="majorHAnsi"/>
                <w:color w:val="FFFFFF" w:themeColor="background1"/>
              </w:rPr>
              <w:t>Industrial</w:t>
            </w:r>
          </w:p>
        </w:tc>
      </w:tr>
      <w:tr w:rsidR="004828BA" w14:paraId="6A563DF1" w14:textId="77777777" w:rsidTr="008F724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Borders>
              <w:top w:val="none" w:sz="0" w:space="0" w:color="auto"/>
              <w:left w:val="none" w:sz="0" w:space="0" w:color="auto"/>
              <w:bottom w:val="none" w:sz="0" w:space="0" w:color="auto"/>
              <w:right w:val="none" w:sz="0" w:space="0" w:color="auto"/>
            </w:tcBorders>
          </w:tcPr>
          <w:p w14:paraId="63F58B41" w14:textId="134922DC" w:rsidR="004828BA" w:rsidRDefault="004828BA" w:rsidP="007C41F0">
            <w:r>
              <w:t xml:space="preserve">Fuel </w:t>
            </w:r>
            <w:r w:rsidR="005B7B2F">
              <w:t xml:space="preserve">oil </w:t>
            </w:r>
            <w:r>
              <w:t>#2</w:t>
            </w:r>
          </w:p>
        </w:tc>
        <w:tc>
          <w:tcPr>
            <w:tcW w:w="1446" w:type="dxa"/>
            <w:tcBorders>
              <w:top w:val="none" w:sz="0" w:space="0" w:color="auto"/>
              <w:left w:val="none" w:sz="0" w:space="0" w:color="auto"/>
              <w:bottom w:val="none" w:sz="0" w:space="0" w:color="auto"/>
              <w:right w:val="none" w:sz="0" w:space="0" w:color="auto"/>
            </w:tcBorders>
          </w:tcPr>
          <w:p w14:paraId="480050F7" w14:textId="18AAE059" w:rsidR="004828BA" w:rsidRDefault="001B0413" w:rsidP="007C41F0">
            <w:pPr>
              <w:jc w:val="right"/>
              <w:cnfStyle w:val="000000010000" w:firstRow="0" w:lastRow="0" w:firstColumn="0" w:lastColumn="0" w:oddVBand="0" w:evenVBand="0" w:oddHBand="0" w:evenHBand="1" w:firstRowFirstColumn="0" w:firstRowLastColumn="0" w:lastRowFirstColumn="0" w:lastRowLastColumn="0"/>
            </w:pPr>
            <w:r>
              <w:t>25%</w:t>
            </w:r>
          </w:p>
        </w:tc>
        <w:tc>
          <w:tcPr>
            <w:tcW w:w="1440" w:type="dxa"/>
            <w:tcBorders>
              <w:top w:val="none" w:sz="0" w:space="0" w:color="auto"/>
              <w:left w:val="none" w:sz="0" w:space="0" w:color="auto"/>
              <w:bottom w:val="none" w:sz="0" w:space="0" w:color="auto"/>
              <w:right w:val="none" w:sz="0" w:space="0" w:color="auto"/>
            </w:tcBorders>
          </w:tcPr>
          <w:p w14:paraId="4F2EE22E" w14:textId="4BFCA98A" w:rsidR="004828BA" w:rsidRDefault="004828BA" w:rsidP="007C41F0">
            <w:pPr>
              <w:jc w:val="right"/>
              <w:cnfStyle w:val="000000010000" w:firstRow="0" w:lastRow="0" w:firstColumn="0" w:lastColumn="0" w:oddVBand="0" w:evenVBand="0" w:oddHBand="0" w:evenHBand="1" w:firstRowFirstColumn="0" w:firstRowLastColumn="0" w:lastRowFirstColumn="0" w:lastRowLastColumn="0"/>
            </w:pPr>
            <w:r>
              <w:t>1%</w:t>
            </w:r>
          </w:p>
        </w:tc>
      </w:tr>
      <w:tr w:rsidR="004828BA" w14:paraId="3B7FF9DC" w14:textId="77777777" w:rsidTr="008F72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Borders>
              <w:top w:val="none" w:sz="0" w:space="0" w:color="auto"/>
              <w:left w:val="none" w:sz="0" w:space="0" w:color="auto"/>
              <w:bottom w:val="none" w:sz="0" w:space="0" w:color="auto"/>
              <w:right w:val="none" w:sz="0" w:space="0" w:color="auto"/>
            </w:tcBorders>
          </w:tcPr>
          <w:p w14:paraId="4730FF20" w14:textId="77777777" w:rsidR="004828BA" w:rsidRDefault="004828BA" w:rsidP="007C41F0">
            <w:r>
              <w:t>Propane</w:t>
            </w:r>
          </w:p>
        </w:tc>
        <w:tc>
          <w:tcPr>
            <w:tcW w:w="1446" w:type="dxa"/>
            <w:tcBorders>
              <w:top w:val="none" w:sz="0" w:space="0" w:color="auto"/>
              <w:left w:val="none" w:sz="0" w:space="0" w:color="auto"/>
              <w:bottom w:val="none" w:sz="0" w:space="0" w:color="auto"/>
              <w:right w:val="none" w:sz="0" w:space="0" w:color="auto"/>
            </w:tcBorders>
          </w:tcPr>
          <w:p w14:paraId="62FA20CE" w14:textId="7BE812EB" w:rsidR="004828BA" w:rsidRDefault="001B0413" w:rsidP="007C41F0">
            <w:pPr>
              <w:jc w:val="right"/>
              <w:cnfStyle w:val="000000100000" w:firstRow="0" w:lastRow="0" w:firstColumn="0" w:lastColumn="0" w:oddVBand="0" w:evenVBand="0" w:oddHBand="1" w:evenHBand="0" w:firstRowFirstColumn="0" w:firstRowLastColumn="0" w:lastRowFirstColumn="0" w:lastRowLastColumn="0"/>
            </w:pPr>
            <w:r>
              <w:t>0%</w:t>
            </w:r>
          </w:p>
        </w:tc>
        <w:tc>
          <w:tcPr>
            <w:tcW w:w="1440" w:type="dxa"/>
            <w:tcBorders>
              <w:top w:val="none" w:sz="0" w:space="0" w:color="auto"/>
              <w:left w:val="none" w:sz="0" w:space="0" w:color="auto"/>
              <w:bottom w:val="none" w:sz="0" w:space="0" w:color="auto"/>
              <w:right w:val="none" w:sz="0" w:space="0" w:color="auto"/>
            </w:tcBorders>
          </w:tcPr>
          <w:p w14:paraId="30C96364" w14:textId="32A3CC15" w:rsidR="004828BA" w:rsidRDefault="004828BA" w:rsidP="007C41F0">
            <w:pPr>
              <w:jc w:val="right"/>
              <w:cnfStyle w:val="000000100000" w:firstRow="0" w:lastRow="0" w:firstColumn="0" w:lastColumn="0" w:oddVBand="0" w:evenVBand="0" w:oddHBand="1" w:evenHBand="0" w:firstRowFirstColumn="0" w:firstRowLastColumn="0" w:lastRowFirstColumn="0" w:lastRowLastColumn="0"/>
            </w:pPr>
            <w:r>
              <w:t>1%</w:t>
            </w:r>
          </w:p>
        </w:tc>
      </w:tr>
      <w:tr w:rsidR="004828BA" w14:paraId="49034816" w14:textId="77777777" w:rsidTr="008F724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Borders>
              <w:top w:val="none" w:sz="0" w:space="0" w:color="auto"/>
              <w:left w:val="none" w:sz="0" w:space="0" w:color="auto"/>
              <w:bottom w:val="none" w:sz="0" w:space="0" w:color="auto"/>
              <w:right w:val="none" w:sz="0" w:space="0" w:color="auto"/>
            </w:tcBorders>
          </w:tcPr>
          <w:p w14:paraId="6DCB0C11" w14:textId="39DA8B2A" w:rsidR="004828BA" w:rsidRDefault="004828BA" w:rsidP="007C41F0">
            <w:r>
              <w:t xml:space="preserve">Natural </w:t>
            </w:r>
            <w:r w:rsidR="005B7B2F">
              <w:t>gas</w:t>
            </w:r>
          </w:p>
        </w:tc>
        <w:tc>
          <w:tcPr>
            <w:tcW w:w="1446" w:type="dxa"/>
            <w:tcBorders>
              <w:top w:val="none" w:sz="0" w:space="0" w:color="auto"/>
              <w:left w:val="none" w:sz="0" w:space="0" w:color="auto"/>
              <w:bottom w:val="none" w:sz="0" w:space="0" w:color="auto"/>
              <w:right w:val="none" w:sz="0" w:space="0" w:color="auto"/>
            </w:tcBorders>
          </w:tcPr>
          <w:p w14:paraId="4F5B9CC7" w14:textId="648E45E0" w:rsidR="004828BA" w:rsidRDefault="001B0413" w:rsidP="007C41F0">
            <w:pPr>
              <w:jc w:val="right"/>
              <w:cnfStyle w:val="000000010000" w:firstRow="0" w:lastRow="0" w:firstColumn="0" w:lastColumn="0" w:oddVBand="0" w:evenVBand="0" w:oddHBand="0" w:evenHBand="1" w:firstRowFirstColumn="0" w:firstRowLastColumn="0" w:lastRowFirstColumn="0" w:lastRowLastColumn="0"/>
            </w:pPr>
            <w:r>
              <w:t>63%</w:t>
            </w:r>
          </w:p>
        </w:tc>
        <w:tc>
          <w:tcPr>
            <w:tcW w:w="1440" w:type="dxa"/>
            <w:tcBorders>
              <w:top w:val="none" w:sz="0" w:space="0" w:color="auto"/>
              <w:left w:val="none" w:sz="0" w:space="0" w:color="auto"/>
              <w:bottom w:val="none" w:sz="0" w:space="0" w:color="auto"/>
              <w:right w:val="none" w:sz="0" w:space="0" w:color="auto"/>
            </w:tcBorders>
          </w:tcPr>
          <w:p w14:paraId="089A58A9" w14:textId="502AD1FF" w:rsidR="004828BA" w:rsidRDefault="001B0413" w:rsidP="007C41F0">
            <w:pPr>
              <w:jc w:val="right"/>
              <w:cnfStyle w:val="000000010000" w:firstRow="0" w:lastRow="0" w:firstColumn="0" w:lastColumn="0" w:oddVBand="0" w:evenVBand="0" w:oddHBand="0" w:evenHBand="1" w:firstRowFirstColumn="0" w:firstRowLastColumn="0" w:lastRowFirstColumn="0" w:lastRowLastColumn="0"/>
            </w:pPr>
            <w:r>
              <w:t>81%</w:t>
            </w:r>
          </w:p>
        </w:tc>
      </w:tr>
      <w:tr w:rsidR="004828BA" w14:paraId="6A28329C" w14:textId="77777777" w:rsidTr="008F72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Borders>
              <w:top w:val="none" w:sz="0" w:space="0" w:color="auto"/>
              <w:left w:val="none" w:sz="0" w:space="0" w:color="auto"/>
              <w:bottom w:val="none" w:sz="0" w:space="0" w:color="auto"/>
              <w:right w:val="none" w:sz="0" w:space="0" w:color="auto"/>
            </w:tcBorders>
          </w:tcPr>
          <w:p w14:paraId="795FBECD" w14:textId="77777777" w:rsidR="004828BA" w:rsidRDefault="004828BA" w:rsidP="007C41F0">
            <w:r>
              <w:t>Electricity</w:t>
            </w:r>
          </w:p>
        </w:tc>
        <w:tc>
          <w:tcPr>
            <w:tcW w:w="1446" w:type="dxa"/>
            <w:tcBorders>
              <w:top w:val="none" w:sz="0" w:space="0" w:color="auto"/>
              <w:left w:val="none" w:sz="0" w:space="0" w:color="auto"/>
              <w:bottom w:val="none" w:sz="0" w:space="0" w:color="auto"/>
              <w:right w:val="none" w:sz="0" w:space="0" w:color="auto"/>
            </w:tcBorders>
          </w:tcPr>
          <w:p w14:paraId="3371D41D" w14:textId="5A0AF5B7" w:rsidR="004828BA" w:rsidRDefault="001B0413" w:rsidP="007C41F0">
            <w:pPr>
              <w:jc w:val="right"/>
              <w:cnfStyle w:val="000000100000" w:firstRow="0" w:lastRow="0" w:firstColumn="0" w:lastColumn="0" w:oddVBand="0" w:evenVBand="0" w:oddHBand="1" w:evenHBand="0" w:firstRowFirstColumn="0" w:firstRowLastColumn="0" w:lastRowFirstColumn="0" w:lastRowLastColumn="0"/>
            </w:pPr>
            <w:r>
              <w:t>12%</w:t>
            </w:r>
          </w:p>
        </w:tc>
        <w:tc>
          <w:tcPr>
            <w:tcW w:w="1440" w:type="dxa"/>
            <w:tcBorders>
              <w:top w:val="none" w:sz="0" w:space="0" w:color="auto"/>
              <w:left w:val="none" w:sz="0" w:space="0" w:color="auto"/>
              <w:bottom w:val="none" w:sz="0" w:space="0" w:color="auto"/>
              <w:right w:val="none" w:sz="0" w:space="0" w:color="auto"/>
            </w:tcBorders>
          </w:tcPr>
          <w:p w14:paraId="30E338B3" w14:textId="40B81099" w:rsidR="004828BA" w:rsidRDefault="001B0413" w:rsidP="007C41F0">
            <w:pPr>
              <w:jc w:val="right"/>
              <w:cnfStyle w:val="000000100000" w:firstRow="0" w:lastRow="0" w:firstColumn="0" w:lastColumn="0" w:oddVBand="0" w:evenVBand="0" w:oddHBand="1" w:evenHBand="0" w:firstRowFirstColumn="0" w:firstRowLastColumn="0" w:lastRowFirstColumn="0" w:lastRowLastColumn="0"/>
            </w:pPr>
            <w:r>
              <w:t>15%</w:t>
            </w:r>
          </w:p>
        </w:tc>
      </w:tr>
      <w:tr w:rsidR="004828BA" w14:paraId="5920CAD8" w14:textId="77777777" w:rsidTr="00F0605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Borders>
              <w:top w:val="none" w:sz="0" w:space="0" w:color="auto"/>
              <w:left w:val="none" w:sz="0" w:space="0" w:color="auto"/>
              <w:right w:val="none" w:sz="0" w:space="0" w:color="auto"/>
            </w:tcBorders>
          </w:tcPr>
          <w:p w14:paraId="4385F0DC" w14:textId="156FD578" w:rsidR="004828BA" w:rsidRDefault="004828BA" w:rsidP="007C41F0">
            <w:r>
              <w:t>Coal</w:t>
            </w:r>
          </w:p>
        </w:tc>
        <w:tc>
          <w:tcPr>
            <w:tcW w:w="1446" w:type="dxa"/>
            <w:tcBorders>
              <w:top w:val="none" w:sz="0" w:space="0" w:color="auto"/>
              <w:left w:val="none" w:sz="0" w:space="0" w:color="auto"/>
              <w:right w:val="none" w:sz="0" w:space="0" w:color="auto"/>
            </w:tcBorders>
          </w:tcPr>
          <w:p w14:paraId="3E2E6783" w14:textId="0BE95A63" w:rsidR="004828BA" w:rsidRDefault="001B0413" w:rsidP="007C41F0">
            <w:pPr>
              <w:jc w:val="right"/>
              <w:cnfStyle w:val="000000010000" w:firstRow="0" w:lastRow="0" w:firstColumn="0" w:lastColumn="0" w:oddVBand="0" w:evenVBand="0" w:oddHBand="0" w:evenHBand="1" w:firstRowFirstColumn="0" w:firstRowLastColumn="0" w:lastRowFirstColumn="0" w:lastRowLastColumn="0"/>
            </w:pPr>
            <w:r>
              <w:t>0%</w:t>
            </w:r>
          </w:p>
        </w:tc>
        <w:tc>
          <w:tcPr>
            <w:tcW w:w="1440" w:type="dxa"/>
            <w:tcBorders>
              <w:top w:val="none" w:sz="0" w:space="0" w:color="auto"/>
              <w:left w:val="none" w:sz="0" w:space="0" w:color="auto"/>
              <w:right w:val="none" w:sz="0" w:space="0" w:color="auto"/>
            </w:tcBorders>
          </w:tcPr>
          <w:p w14:paraId="1545E5FB" w14:textId="71A9E4DE" w:rsidR="004828BA" w:rsidRDefault="001B0413" w:rsidP="007C41F0">
            <w:pPr>
              <w:jc w:val="right"/>
              <w:cnfStyle w:val="000000010000" w:firstRow="0" w:lastRow="0" w:firstColumn="0" w:lastColumn="0" w:oddVBand="0" w:evenVBand="0" w:oddHBand="0" w:evenHBand="1" w:firstRowFirstColumn="0" w:firstRowLastColumn="0" w:lastRowFirstColumn="0" w:lastRowLastColumn="0"/>
            </w:pPr>
            <w:r>
              <w:t>2%</w:t>
            </w:r>
          </w:p>
        </w:tc>
      </w:tr>
      <w:tr w:rsidR="000A3374" w14:paraId="5B9199DC" w14:textId="77777777" w:rsidTr="00F060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26" w:type="dxa"/>
            <w:gridSpan w:val="3"/>
            <w:tcBorders>
              <w:top w:val="none" w:sz="0" w:space="0" w:color="auto"/>
              <w:left w:val="nil"/>
              <w:bottom w:val="nil"/>
              <w:right w:val="nil"/>
            </w:tcBorders>
          </w:tcPr>
          <w:p w14:paraId="4A37D921" w14:textId="7EEC7531" w:rsidR="000A3374" w:rsidRDefault="000A3374" w:rsidP="00941CD9">
            <w:r w:rsidRPr="00941CD9">
              <w:rPr>
                <w:sz w:val="18"/>
                <w:szCs w:val="18"/>
                <w:vertAlign w:val="superscript"/>
              </w:rPr>
              <w:t>a</w:t>
            </w:r>
            <w:r w:rsidR="005B7B2F">
              <w:rPr>
                <w:sz w:val="18"/>
                <w:szCs w:val="18"/>
                <w:vertAlign w:val="superscript"/>
              </w:rPr>
              <w:t xml:space="preserve"> </w:t>
            </w:r>
            <w:r w:rsidRPr="00941CD9">
              <w:rPr>
                <w:sz w:val="18"/>
                <w:szCs w:val="18"/>
              </w:rPr>
              <w:t>Commercial includes multifamily common area</w:t>
            </w:r>
          </w:p>
        </w:tc>
      </w:tr>
    </w:tbl>
    <w:p w14:paraId="197A63F5" w14:textId="0EF42584" w:rsidR="00D57932" w:rsidRDefault="00A86DE3" w:rsidP="00D57932">
      <w:pPr>
        <w:ind w:left="1440"/>
      </w:pPr>
      <w:proofErr w:type="spellStart"/>
      <w:r>
        <w:t>CI</w:t>
      </w:r>
      <w:r w:rsidR="00D57932" w:rsidRPr="00AF1550">
        <w:rPr>
          <w:vertAlign w:val="subscript"/>
        </w:rPr>
        <w:t>prop</w:t>
      </w:r>
      <w:proofErr w:type="spellEnd"/>
      <w:r w:rsidR="00D57932" w:rsidRPr="00AF1550">
        <w:t xml:space="preserve"> = </w:t>
      </w:r>
      <w:r>
        <w:t>Carbon intensity value for wood chips</w:t>
      </w:r>
      <w:r w:rsidR="00D57932">
        <w:t xml:space="preserve"> </w:t>
      </w:r>
      <w:r w:rsidR="00DD134A">
        <w:t>(</w:t>
      </w:r>
      <w:r w:rsidR="00D57932">
        <w:t>gCO</w:t>
      </w:r>
      <w:r w:rsidR="00D57932" w:rsidRPr="0041296A">
        <w:rPr>
          <w:vertAlign w:val="subscript"/>
        </w:rPr>
        <w:t>2</w:t>
      </w:r>
      <w:r w:rsidR="00D57932" w:rsidRPr="00A45E83">
        <w:t>e</w:t>
      </w:r>
      <w:r w:rsidR="00D57932">
        <w:t>/MJ</w:t>
      </w:r>
      <w:r w:rsidR="00DD134A">
        <w:t>)</w:t>
      </w:r>
      <w:r w:rsidR="00DD134A" w:rsidRPr="00AF1550">
        <w:t xml:space="preserve">. </w:t>
      </w:r>
      <w:r w:rsidR="00D57932">
        <w:t xml:space="preserve">Varies by year; see </w:t>
      </w:r>
      <w:r w:rsidR="00257E63">
        <w:t>&lt;EMISSIONS SCHEDULE&gt; in &lt;FRONT MATTER SECTION&gt;</w:t>
      </w:r>
      <w:r w:rsidR="00D57932">
        <w:t>.</w:t>
      </w:r>
    </w:p>
    <w:p w14:paraId="0759762A" w14:textId="36729860" w:rsidR="00D57932" w:rsidRDefault="00D57932" w:rsidP="00D57932">
      <w:pPr>
        <w:ind w:left="1440"/>
      </w:pPr>
      <w:r w:rsidRPr="007313F2">
        <w:t>Ε</w:t>
      </w:r>
      <w:r>
        <w:t xml:space="preserve"> = The total energy of the </w:t>
      </w:r>
      <w:r w:rsidR="002B2C69">
        <w:t>wood chips</w:t>
      </w:r>
      <w:r>
        <w:t xml:space="preserve"> delivered to the end-user in megajoules.</w:t>
      </w:r>
    </w:p>
    <w:p w14:paraId="01C1D43C" w14:textId="778A60DE" w:rsidR="006B6FD1" w:rsidRDefault="006B6FD1" w:rsidP="002E75D5">
      <w:pPr>
        <w:pStyle w:val="Heading5"/>
        <w:keepNext/>
        <w:keepLines/>
        <w:ind w:firstLine="720"/>
      </w:pPr>
      <w:r w:rsidRPr="00AF1550">
        <w:t xml:space="preserve">Energy </w:t>
      </w:r>
      <w:r w:rsidR="00941CD9">
        <w:t>I</w:t>
      </w:r>
      <w:r w:rsidR="00941CD9" w:rsidRPr="00AF1550">
        <w:t xml:space="preserve">mpacts </w:t>
      </w:r>
      <w:r w:rsidRPr="00AF1550">
        <w:t>Algorithms</w:t>
      </w:r>
    </w:p>
    <w:p w14:paraId="03F7B431" w14:textId="77777777" w:rsidR="006B6FD1" w:rsidRDefault="006B6FD1" w:rsidP="006B6FD1">
      <w:r>
        <w:tab/>
        <w:t xml:space="preserve">E = </w:t>
      </w:r>
      <m:oMath>
        <m:d>
          <m:dPr>
            <m:ctrlPr>
              <w:rPr>
                <w:rFonts w:ascii="Cambria Math" w:hAnsi="Cambria Math"/>
                <w:i/>
              </w:rPr>
            </m:ctrlPr>
          </m:dPr>
          <m:e>
            <m:sSub>
              <m:sSubPr>
                <m:ctrlPr>
                  <w:rPr>
                    <w:rFonts w:ascii="Cambria Math" w:hAnsi="Cambria Math"/>
                    <w:i/>
                  </w:rPr>
                </m:ctrlPr>
              </m:sSubPr>
              <m:e>
                <m:r>
                  <w:rPr>
                    <w:rFonts w:ascii="Cambria Math" w:hAnsi="Cambria Math"/>
                  </w:rPr>
                  <m:t>W</m:t>
                </m:r>
              </m:e>
              <m:sub>
                <m:r>
                  <w:rPr>
                    <w:rFonts w:ascii="Cambria Math" w:hAnsi="Cambria Math"/>
                  </w:rPr>
                  <m:t>WCHP</m:t>
                </m:r>
              </m:sub>
            </m:sSub>
            <m:r>
              <w:rPr>
                <w:rFonts w:ascii="Cambria Math" w:hAnsi="Cambria Math"/>
              </w:rPr>
              <m:t>×</m:t>
            </m:r>
            <m:sSub>
              <m:sSubPr>
                <m:ctrlPr>
                  <w:rPr>
                    <w:rFonts w:ascii="Cambria Math" w:hAnsi="Cambria Math"/>
                    <w:i/>
                  </w:rPr>
                </m:ctrlPr>
              </m:sSubPr>
              <m:e>
                <m:r>
                  <w:rPr>
                    <w:rFonts w:ascii="Cambria Math" w:hAnsi="Cambria Math"/>
                  </w:rPr>
                  <m:t>LHV</m:t>
                </m:r>
              </m:e>
              <m:sub>
                <m:r>
                  <w:rPr>
                    <w:rFonts w:ascii="Cambria Math" w:hAnsi="Cambria Math"/>
                  </w:rPr>
                  <m:t>WCHP</m:t>
                </m:r>
              </m:sub>
            </m:sSub>
          </m:e>
        </m:d>
      </m:oMath>
    </w:p>
    <w:p w14:paraId="50C8705A" w14:textId="319629E3" w:rsidR="006B6FD1" w:rsidRDefault="006B6FD1" w:rsidP="002E75D5">
      <w:pPr>
        <w:keepNext/>
        <w:keepLines/>
        <w:rPr>
          <w:b/>
          <w:bCs/>
        </w:rPr>
      </w:pPr>
      <w:r w:rsidRPr="00D035ED">
        <w:rPr>
          <w:b/>
          <w:bCs/>
        </w:rPr>
        <w:tab/>
        <w:t xml:space="preserve">Input </w:t>
      </w:r>
      <w:r>
        <w:rPr>
          <w:b/>
          <w:bCs/>
        </w:rPr>
        <w:t>V</w:t>
      </w:r>
      <w:r w:rsidRPr="00D035ED">
        <w:rPr>
          <w:b/>
          <w:bCs/>
        </w:rPr>
        <w:t xml:space="preserve">ariable </w:t>
      </w:r>
      <w:r>
        <w:rPr>
          <w:b/>
          <w:bCs/>
        </w:rPr>
        <w:t>D</w:t>
      </w:r>
      <w:r w:rsidR="00DD134A">
        <w:rPr>
          <w:b/>
          <w:bCs/>
        </w:rPr>
        <w:t>ef</w:t>
      </w:r>
      <w:r w:rsidRPr="00D035ED">
        <w:rPr>
          <w:b/>
          <w:bCs/>
        </w:rPr>
        <w:t>initions</w:t>
      </w:r>
    </w:p>
    <w:p w14:paraId="348B039D" w14:textId="2F191F1C" w:rsidR="006B6FD1" w:rsidRDefault="006B6FD1" w:rsidP="006B6FD1">
      <w:pPr>
        <w:ind w:left="1440"/>
      </w:pPr>
      <w:r>
        <w:t>W</w:t>
      </w:r>
      <w:r>
        <w:rPr>
          <w:vertAlign w:val="subscript"/>
        </w:rPr>
        <w:t>WCHP</w:t>
      </w:r>
      <w:r>
        <w:t xml:space="preserve"> = The total weight of wood chip</w:t>
      </w:r>
      <w:r w:rsidR="005B7B2F">
        <w:t xml:space="preserve">s </w:t>
      </w:r>
      <w:r>
        <w:t xml:space="preserve">that </w:t>
      </w:r>
      <w:r w:rsidR="005B7B2F">
        <w:t xml:space="preserve">are </w:t>
      </w:r>
      <w:r>
        <w:t xml:space="preserve">delivered to the end-user in short tons. </w:t>
      </w:r>
    </w:p>
    <w:p w14:paraId="54166C7C" w14:textId="58A94A08" w:rsidR="006B6FD1" w:rsidRDefault="006B6FD1" w:rsidP="006B6FD1">
      <w:pPr>
        <w:ind w:left="1440"/>
      </w:pPr>
      <w:r>
        <w:t>LHV</w:t>
      </w:r>
      <w:r>
        <w:rPr>
          <w:vertAlign w:val="subscript"/>
        </w:rPr>
        <w:t>WP</w:t>
      </w:r>
      <w:r>
        <w:t xml:space="preserve"> = Lower Heating Value of wood chip</w:t>
      </w:r>
      <w:r w:rsidR="007C2B16">
        <w:t>s</w:t>
      </w:r>
      <w:r>
        <w:t xml:space="preserve"> in units of MJ/short ton, 16,867.81 MJ/short ton.</w:t>
      </w:r>
      <w:r w:rsidR="00D57932">
        <w:rPr>
          <w:rStyle w:val="FootnoteReference"/>
        </w:rPr>
        <w:footnoteReference w:id="15"/>
      </w:r>
    </w:p>
    <w:p w14:paraId="7B4CB1B3" w14:textId="77777777" w:rsidR="006B6FD1" w:rsidRDefault="006B6FD1" w:rsidP="006B6FD1">
      <w:pPr>
        <w:ind w:firstLine="720"/>
        <w:rPr>
          <w:b/>
          <w:bCs/>
        </w:rPr>
      </w:pPr>
      <w:r w:rsidRPr="003643D2">
        <w:rPr>
          <w:b/>
          <w:bCs/>
        </w:rPr>
        <w:lastRenderedPageBreak/>
        <w:t>Measure Life</w:t>
      </w:r>
    </w:p>
    <w:p w14:paraId="484A2C5E" w14:textId="7930E77E" w:rsidR="006B6FD1" w:rsidRDefault="00CE5F91" w:rsidP="006B6FD1">
      <w:pPr>
        <w:ind w:left="1440"/>
      </w:pPr>
      <w:bookmarkStart w:id="36" w:name="_Hlk175747550"/>
      <w:r>
        <w:t>Wood chips</w:t>
      </w:r>
      <w:r w:rsidR="006B6FD1">
        <w:t xml:space="preserve"> are not subject to a measure life,</w:t>
      </w:r>
      <w:r>
        <w:t xml:space="preserve"> as the measure characterization is based on the weight of wood chips that are delivered to an end-user and used in the thermal sector.</w:t>
      </w:r>
    </w:p>
    <w:bookmarkEnd w:id="36"/>
    <w:p w14:paraId="6094F43A" w14:textId="77777777" w:rsidR="006B6FD1" w:rsidRDefault="006B6FD1" w:rsidP="006B6FD1">
      <w:pPr>
        <w:ind w:firstLine="720"/>
        <w:rPr>
          <w:b/>
          <w:bCs/>
        </w:rPr>
      </w:pPr>
      <w:r w:rsidRPr="003643D2">
        <w:rPr>
          <w:b/>
          <w:bCs/>
        </w:rPr>
        <w:t>Measure Cost</w:t>
      </w:r>
    </w:p>
    <w:p w14:paraId="4D6A4C5B" w14:textId="100BF004" w:rsidR="006B6FD1" w:rsidRPr="00C9187F" w:rsidRDefault="006B6FD1" w:rsidP="006B6FD1">
      <w:pPr>
        <w:ind w:left="1440"/>
      </w:pPr>
      <w:r>
        <w:t xml:space="preserve">The incremental cost of </w:t>
      </w:r>
      <w:r w:rsidR="007C2B16">
        <w:t>wood chips as compared to</w:t>
      </w:r>
      <w:r>
        <w:t xml:space="preserve"> the baseline fuel. Use actual costs.</w:t>
      </w:r>
    </w:p>
    <w:p w14:paraId="02001F7F" w14:textId="77777777" w:rsidR="006B6FD1" w:rsidRDefault="006B6FD1" w:rsidP="006B6FD1">
      <w:pPr>
        <w:pStyle w:val="Heading4"/>
      </w:pPr>
      <w:r>
        <w:t>Program Data Tracking Recommendations</w:t>
      </w:r>
    </w:p>
    <w:p w14:paraId="59C4F5D8" w14:textId="77777777" w:rsidR="006B6FD1" w:rsidRDefault="006B6FD1" w:rsidP="002E75D5">
      <w:r>
        <w:t>The key input variables for this measure are the following:</w:t>
      </w:r>
    </w:p>
    <w:p w14:paraId="74184DD6" w14:textId="77777777" w:rsidR="006B6FD1" w:rsidRDefault="006B6FD1" w:rsidP="002E75D5">
      <w:pPr>
        <w:pStyle w:val="ListBullet"/>
      </w:pPr>
      <w:r>
        <w:t>Weight of delivered wood chips to the end user</w:t>
      </w:r>
    </w:p>
    <w:p w14:paraId="636F10F0" w14:textId="77777777" w:rsidR="006B6FD1" w:rsidRDefault="006B6FD1" w:rsidP="002E75D5">
      <w:pPr>
        <w:pStyle w:val="ListBullet"/>
      </w:pPr>
      <w:r>
        <w:t>T</w:t>
      </w:r>
      <w:bookmarkStart w:id="37" w:name="_Hlk175747305"/>
      <w:r>
        <w:t xml:space="preserve">he fuel that is displaced by the </w:t>
      </w:r>
      <w:bookmarkEnd w:id="37"/>
      <w:r>
        <w:t>wood chips</w:t>
      </w:r>
    </w:p>
    <w:p w14:paraId="36E9AD51" w14:textId="77777777" w:rsidR="006B6FD1" w:rsidRDefault="006B6FD1" w:rsidP="006B6FD1">
      <w:pPr>
        <w:pStyle w:val="Heading4"/>
      </w:pPr>
      <w:r>
        <w:t xml:space="preserve">Energy Codes and </w:t>
      </w:r>
      <w:r w:rsidRPr="00C36178">
        <w:t>Standards</w:t>
      </w:r>
    </w:p>
    <w:p w14:paraId="6EFE3A10" w14:textId="08F89572" w:rsidR="006B6FD1" w:rsidRPr="006B6FD1" w:rsidRDefault="002B2C69" w:rsidP="006B6FD1">
      <w:r>
        <w:t>None</w:t>
      </w:r>
    </w:p>
    <w:p w14:paraId="3B8E912A" w14:textId="7402EAD2" w:rsidR="00EC2EBA" w:rsidRDefault="00EC2EBA" w:rsidP="002203CC">
      <w:pPr>
        <w:pStyle w:val="Heading3"/>
      </w:pPr>
      <w:r>
        <w:t>Wood Pellets</w:t>
      </w:r>
    </w:p>
    <w:p w14:paraId="5FEB833D" w14:textId="77777777" w:rsidR="006B6FD1" w:rsidRPr="00FC7A76" w:rsidRDefault="006B6FD1" w:rsidP="006B6FD1">
      <w:pPr>
        <w:spacing w:after="0"/>
        <w:ind w:left="1080"/>
      </w:pPr>
      <w:r w:rsidRPr="00394B33">
        <w:rPr>
          <w:b/>
          <w:bCs/>
        </w:rPr>
        <w:t xml:space="preserve">CHS Measure ID: </w:t>
      </w:r>
      <w:r>
        <w:t>RES_FUEL_WPEL</w:t>
      </w:r>
    </w:p>
    <w:p w14:paraId="6916AF72" w14:textId="77777777" w:rsidR="006B6FD1" w:rsidRDefault="006B6FD1" w:rsidP="006B6FD1">
      <w:pPr>
        <w:spacing w:after="0"/>
        <w:ind w:left="1080"/>
        <w:rPr>
          <w:b/>
          <w:bCs/>
        </w:rPr>
      </w:pPr>
      <w:r>
        <w:rPr>
          <w:b/>
          <w:bCs/>
        </w:rPr>
        <w:t xml:space="preserve">Market Sector: </w:t>
      </w:r>
      <w:r>
        <w:t>Residential</w:t>
      </w:r>
    </w:p>
    <w:p w14:paraId="2655A506" w14:textId="77777777" w:rsidR="006B6FD1" w:rsidRPr="0016490D" w:rsidRDefault="006B6FD1" w:rsidP="006B6FD1">
      <w:pPr>
        <w:spacing w:after="0"/>
        <w:ind w:left="1080"/>
      </w:pPr>
      <w:r>
        <w:rPr>
          <w:b/>
          <w:bCs/>
        </w:rPr>
        <w:t xml:space="preserve">End Use: </w:t>
      </w:r>
      <w:r w:rsidRPr="00BE2E62">
        <w:t>Alternative Fuels</w:t>
      </w:r>
      <w:r>
        <w:t xml:space="preserve"> </w:t>
      </w:r>
    </w:p>
    <w:p w14:paraId="3EA88D47" w14:textId="77777777" w:rsidR="006B6FD1" w:rsidRPr="003F16E4" w:rsidRDefault="006B6FD1" w:rsidP="006B6FD1">
      <w:pPr>
        <w:spacing w:after="0"/>
        <w:ind w:left="1080"/>
      </w:pPr>
      <w:r>
        <w:rPr>
          <w:b/>
          <w:bCs/>
        </w:rPr>
        <w:t xml:space="preserve">Applicable Building Types: </w:t>
      </w:r>
      <w:r>
        <w:t>Single Family, Multifamily</w:t>
      </w:r>
    </w:p>
    <w:p w14:paraId="6340BC2D" w14:textId="77777777" w:rsidR="006B6FD1" w:rsidRDefault="006B6FD1" w:rsidP="006B6FD1">
      <w:pPr>
        <w:spacing w:after="0"/>
        <w:ind w:left="360" w:firstLine="720"/>
      </w:pPr>
      <w:r>
        <w:rPr>
          <w:b/>
          <w:bCs/>
        </w:rPr>
        <w:t xml:space="preserve">Decarbonization Pathways: </w:t>
      </w:r>
      <w:r w:rsidRPr="00BE2E62">
        <w:t>Alternative Fuels</w:t>
      </w:r>
    </w:p>
    <w:p w14:paraId="457FECF4" w14:textId="0E7D9864" w:rsidR="006B6FD1" w:rsidRPr="00963504" w:rsidRDefault="006B6FD1" w:rsidP="006B6FD1">
      <w:pPr>
        <w:spacing w:after="0"/>
        <w:ind w:left="1080"/>
      </w:pPr>
      <w:r>
        <w:rPr>
          <w:b/>
          <w:bCs/>
        </w:rPr>
        <w:t xml:space="preserve">Applicable Feedstocks: </w:t>
      </w:r>
      <w:r w:rsidR="003C1394">
        <w:t>L</w:t>
      </w:r>
      <w:r w:rsidRPr="0023477C">
        <w:t>umber wood</w:t>
      </w:r>
      <w:r>
        <w:t>,</w:t>
      </w:r>
      <w:r w:rsidRPr="0023477C">
        <w:t xml:space="preserve"> lumber mill residues</w:t>
      </w:r>
      <w:r>
        <w:t xml:space="preserve">, lumber mill </w:t>
      </w:r>
      <w:r w:rsidRPr="0023477C">
        <w:t>wastes</w:t>
      </w:r>
    </w:p>
    <w:p w14:paraId="57B227FA" w14:textId="77777777" w:rsidR="006B6FD1" w:rsidRDefault="006B6FD1" w:rsidP="006B6FD1">
      <w:pPr>
        <w:pStyle w:val="Heading4"/>
      </w:pPr>
      <w:r>
        <w:t>Measure Description</w:t>
      </w:r>
    </w:p>
    <w:p w14:paraId="6C7668FD" w14:textId="4AB02546" w:rsidR="007C2B16" w:rsidRDefault="006B6FD1" w:rsidP="007C2B16">
      <w:pPr>
        <w:ind w:left="720"/>
      </w:pPr>
      <w:r>
        <w:t xml:space="preserve">This measure involves the replacement of </w:t>
      </w:r>
      <w:r w:rsidR="00954C03">
        <w:t xml:space="preserve">natural gas, </w:t>
      </w:r>
      <w:r>
        <w:t>propane</w:t>
      </w:r>
      <w:r w:rsidR="00954C03">
        <w:t>,</w:t>
      </w:r>
      <w:r>
        <w:t xml:space="preserve"> or fuel oil #2 with wood pellets </w:t>
      </w:r>
      <w:r w:rsidR="00CC4847">
        <w:t xml:space="preserve">in the </w:t>
      </w:r>
      <w:r w:rsidR="007C41F0">
        <w:t xml:space="preserve">residential </w:t>
      </w:r>
      <w:r w:rsidR="00CC4847">
        <w:t>thermal sector</w:t>
      </w:r>
      <w:r>
        <w:t xml:space="preserve">. </w:t>
      </w:r>
      <w:r w:rsidR="007C2B16">
        <w:t>Wood pellets cannot be directly substituted for gaseous or liquid fuels; this measure assumes that the end</w:t>
      </w:r>
      <w:r w:rsidR="00DD134A">
        <w:t>-</w:t>
      </w:r>
      <w:r w:rsidR="007C2B16">
        <w:t xml:space="preserve">user either </w:t>
      </w:r>
      <w:proofErr w:type="gramStart"/>
      <w:r w:rsidR="007C2B16">
        <w:t>has the ability to</w:t>
      </w:r>
      <w:proofErr w:type="gramEnd"/>
      <w:r w:rsidR="007C2B16">
        <w:t xml:space="preserve"> substitute fuels at will (e.g. multiple thermal heating systems) or has made capital investments to replace thermal equipment that uses fossil fuels with thermal equipment that uses wood pellets.</w:t>
      </w:r>
    </w:p>
    <w:p w14:paraId="68B48BC4" w14:textId="1377A416" w:rsidR="006B6FD1" w:rsidRDefault="007C2B16" w:rsidP="006B6FD1">
      <w:pPr>
        <w:ind w:left="720"/>
      </w:pPr>
      <w:r>
        <w:t xml:space="preserve">This measure assumes </w:t>
      </w:r>
      <w:r w:rsidR="007C41F0">
        <w:t>wood pellets</w:t>
      </w:r>
      <w:r>
        <w:t xml:space="preserve"> are produced from</w:t>
      </w:r>
      <w:r w:rsidR="007C41F0">
        <w:t xml:space="preserve"> a blend of lumber wood, lumber mill residues, and lumber mill wastes</w:t>
      </w:r>
      <w:r w:rsidR="006B6FD1">
        <w:t xml:space="preserve">. </w:t>
      </w:r>
      <w:r w:rsidR="003C1394">
        <w:t xml:space="preserve">Greenhouse gas reductions associated with this measure are derived from the difference in </w:t>
      </w:r>
      <w:r w:rsidR="00A86DE3">
        <w:t>carbon intensity values</w:t>
      </w:r>
      <w:r w:rsidR="003C1394">
        <w:t xml:space="preserve"> (gCO</w:t>
      </w:r>
      <w:r w:rsidR="003C1394" w:rsidRPr="00165D28">
        <w:rPr>
          <w:vertAlign w:val="subscript"/>
        </w:rPr>
        <w:t>2</w:t>
      </w:r>
      <w:r w:rsidR="003C1394">
        <w:t>e/MJ) between the baseline heating fuel and wood pellets</w:t>
      </w:r>
      <w:r w:rsidR="006B6FD1">
        <w:t>.</w:t>
      </w:r>
      <w:r w:rsidR="00A86DE3">
        <w:t xml:space="preserve"> Due to the likely difficulty of verifying existing fuel usage, this measure allows for the use of a blended baseline carbon intensity value that assumes a default mix of energy sources based on the characteristics of the existing Vermont thermal sector.</w:t>
      </w:r>
    </w:p>
    <w:p w14:paraId="7162D842" w14:textId="77777777" w:rsidR="006B6FD1" w:rsidRDefault="006B6FD1" w:rsidP="00A16868">
      <w:pPr>
        <w:keepNext/>
        <w:keepLines/>
        <w:ind w:firstLine="720"/>
        <w:rPr>
          <w:b/>
          <w:bCs/>
        </w:rPr>
      </w:pPr>
      <w:r>
        <w:rPr>
          <w:b/>
          <w:bCs/>
        </w:rPr>
        <w:lastRenderedPageBreak/>
        <w:t>Baseline Conditions</w:t>
      </w:r>
    </w:p>
    <w:p w14:paraId="780F580E" w14:textId="0D1A2B34" w:rsidR="006B6FD1" w:rsidRDefault="006B6FD1" w:rsidP="006B6FD1">
      <w:pPr>
        <w:ind w:left="720"/>
      </w:pPr>
      <w:r>
        <w:t xml:space="preserve">The baseline condition is </w:t>
      </w:r>
      <w:r w:rsidR="007C41F0">
        <w:t xml:space="preserve">the </w:t>
      </w:r>
      <w:r>
        <w:t>use of propane or fuel oil #2 in</w:t>
      </w:r>
      <w:r w:rsidR="007C41F0">
        <w:t xml:space="preserve"> the</w:t>
      </w:r>
      <w:r>
        <w:t xml:space="preserve"> residential </w:t>
      </w:r>
      <w:r w:rsidR="007C41F0">
        <w:t xml:space="preserve">thermal sector that </w:t>
      </w:r>
      <w:r w:rsidR="00A86DE3">
        <w:t xml:space="preserve">is </w:t>
      </w:r>
      <w:r w:rsidR="007C41F0">
        <w:t xml:space="preserve">delivered </w:t>
      </w:r>
      <w:r>
        <w:t>to end users through a truck delivery service.</w:t>
      </w:r>
    </w:p>
    <w:p w14:paraId="7FB2097E" w14:textId="77777777" w:rsidR="006B6FD1" w:rsidRDefault="006B6FD1" w:rsidP="006B6FD1">
      <w:pPr>
        <w:ind w:firstLine="720"/>
        <w:rPr>
          <w:b/>
          <w:bCs/>
        </w:rPr>
      </w:pPr>
      <w:r>
        <w:rPr>
          <w:b/>
          <w:bCs/>
        </w:rPr>
        <w:t>Proposed Conditions</w:t>
      </w:r>
    </w:p>
    <w:p w14:paraId="6C232314" w14:textId="3052EAB5" w:rsidR="006B6FD1" w:rsidRDefault="006B6FD1" w:rsidP="006B6FD1">
      <w:pPr>
        <w:ind w:left="720"/>
      </w:pPr>
      <w:r>
        <w:t xml:space="preserve">The proposed </w:t>
      </w:r>
      <w:r w:rsidR="00A86DE3">
        <w:t xml:space="preserve">condition </w:t>
      </w:r>
      <w:r>
        <w:t>is</w:t>
      </w:r>
      <w:r w:rsidR="00A86DE3">
        <w:t xml:space="preserve"> the use of</w:t>
      </w:r>
      <w:r>
        <w:t xml:space="preserve"> wood pellets that are produced from </w:t>
      </w:r>
      <w:r w:rsidR="00CE5F91">
        <w:t>a blend of lumber wood, lumber mill residues, and lumber mill wastes</w:t>
      </w:r>
      <w:r>
        <w:t xml:space="preserve">. The wood pellet production pathway includes feedstock collection of lumber wood and lumber mill residues and wastes, fuel production, and transport of fuels to distributors. The production pathway excludes impacts relating to land use changes. </w:t>
      </w:r>
    </w:p>
    <w:p w14:paraId="279EC8BE" w14:textId="0621B3E9" w:rsidR="003E288B" w:rsidRDefault="003E288B" w:rsidP="003E288B">
      <w:pPr>
        <w:ind w:left="720"/>
      </w:pPr>
      <w:r w:rsidRPr="000F1E17">
        <w:t>For wood fuels, it takes significant time</w:t>
      </w:r>
      <w:r>
        <w:t xml:space="preserve"> </w:t>
      </w:r>
      <w:r w:rsidRPr="000F1E17">
        <w:t>for the regrowth of new trees to fully sequester the biogenic carbon emitted during combustion</w:t>
      </w:r>
      <w:r>
        <w:t xml:space="preserve"> of wood fuel</w:t>
      </w:r>
      <w:r w:rsidRPr="000F1E17">
        <w:t>.</w:t>
      </w:r>
      <w:r>
        <w:t xml:space="preserve"> A</w:t>
      </w:r>
      <w:r w:rsidRPr="000F1E17">
        <w:t xml:space="preserve"> </w:t>
      </w:r>
      <w:proofErr w:type="spellStart"/>
      <w:r w:rsidRPr="000F1E17">
        <w:t>GWP</w:t>
      </w:r>
      <w:r w:rsidRPr="000F1E17">
        <w:rPr>
          <w:vertAlign w:val="subscript"/>
        </w:rPr>
        <w:t>bio</w:t>
      </w:r>
      <w:proofErr w:type="spellEnd"/>
      <w:r w:rsidRPr="000F1E17">
        <w:t xml:space="preserve"> </w:t>
      </w:r>
      <w:r>
        <w:t xml:space="preserve">factor of 0.32 is applied </w:t>
      </w:r>
      <w:r w:rsidRPr="000F1E17">
        <w:t>to CO</w:t>
      </w:r>
      <w:r w:rsidRPr="000F1E17">
        <w:rPr>
          <w:vertAlign w:val="subscript"/>
        </w:rPr>
        <w:t>2</w:t>
      </w:r>
      <w:r w:rsidRPr="000F1E17">
        <w:t xml:space="preserve"> combustion emissions </w:t>
      </w:r>
      <w:r>
        <w:t xml:space="preserve">for </w:t>
      </w:r>
      <w:r w:rsidRPr="000F1E17">
        <w:t>wood fuels to account for the regrowth period.</w:t>
      </w:r>
      <w:r>
        <w:rPr>
          <w:rStyle w:val="FootnoteReference"/>
        </w:rPr>
        <w:footnoteReference w:id="16"/>
      </w:r>
      <w:r>
        <w:t xml:space="preserve"> </w:t>
      </w:r>
      <w:r w:rsidR="00257E63">
        <w:t>This factor is embedded in the emission rate schedule in &lt;EMISSIONS SCHEDULE&gt; in &lt;FRONT MATTER SECTION&gt;.</w:t>
      </w:r>
    </w:p>
    <w:p w14:paraId="417016CB" w14:textId="1187E62F" w:rsidR="006B6FD1" w:rsidRDefault="003E288B" w:rsidP="003E288B">
      <w:pPr>
        <w:ind w:left="720"/>
      </w:pPr>
      <w:r>
        <w:t>Emissions resulting from the distribution of fuels from the distributor to the end user are presumed equal between the proposed and baseline conditions since truck delivery is assumed in both for propane and fuel oil #2.</w:t>
      </w:r>
    </w:p>
    <w:p w14:paraId="04274DB4" w14:textId="29E14783" w:rsidR="006B6FD1" w:rsidRDefault="006B6FD1" w:rsidP="006B6FD1">
      <w:pPr>
        <w:pStyle w:val="Heading4"/>
      </w:pPr>
      <w:r>
        <w:t xml:space="preserve">Eligibility </w:t>
      </w:r>
      <w:r w:rsidR="00941CD9">
        <w:t>Criteria</w:t>
      </w:r>
    </w:p>
    <w:p w14:paraId="4BDA73D9" w14:textId="228FE0F7" w:rsidR="003E288B" w:rsidRDefault="003E288B" w:rsidP="003E288B">
      <w:r>
        <w:t>This measure characterizes wood pellets used in the thermal sector under a certain set of conditions. Specifically:</w:t>
      </w:r>
    </w:p>
    <w:p w14:paraId="169B1C15" w14:textId="2E2D09C5" w:rsidR="003E288B" w:rsidRDefault="003E288B" w:rsidP="00941CD9">
      <w:pPr>
        <w:pStyle w:val="ListBullet"/>
      </w:pPr>
      <w:r>
        <w:t xml:space="preserve">The </w:t>
      </w:r>
      <w:r w:rsidR="00CE5F91">
        <w:t xml:space="preserve">carbon intensity value for </w:t>
      </w:r>
      <w:r w:rsidRPr="003E288B">
        <w:t>wood</w:t>
      </w:r>
      <w:r>
        <w:t xml:space="preserve"> pellets is characterized </w:t>
      </w:r>
      <w:proofErr w:type="gramStart"/>
      <w:r>
        <w:t>for</w:t>
      </w:r>
      <w:proofErr w:type="gramEnd"/>
      <w:r>
        <w:t xml:space="preserve"> production pathways that reside within the </w:t>
      </w:r>
      <w:r w:rsidR="00CE5F91">
        <w:t>N</w:t>
      </w:r>
      <w:r>
        <w:t>ortheast. Wood pellets that are imported from outside the northeast are not eligible for this measure.</w:t>
      </w:r>
      <w:r>
        <w:rPr>
          <w:rStyle w:val="FootnoteReference"/>
        </w:rPr>
        <w:footnoteReference w:id="17"/>
      </w:r>
      <w:r>
        <w:t xml:space="preserve"> </w:t>
      </w:r>
    </w:p>
    <w:p w14:paraId="579119B5" w14:textId="5F5DA78E" w:rsidR="003E288B" w:rsidRDefault="003E288B" w:rsidP="003E288B">
      <w:r w:rsidRPr="00D57932">
        <w:t xml:space="preserve">This measure does not characterize the use of </w:t>
      </w:r>
      <w:r>
        <w:t>wood pellets</w:t>
      </w:r>
      <w:r w:rsidRPr="00D57932">
        <w:t xml:space="preserve"> in the thermal sector that does not meet </w:t>
      </w:r>
      <w:r w:rsidR="00CE5F91">
        <w:t>this</w:t>
      </w:r>
      <w:r w:rsidR="00CE5F91" w:rsidRPr="00D57932">
        <w:t xml:space="preserve"> </w:t>
      </w:r>
      <w:r w:rsidRPr="00D57932">
        <w:t>above condition</w:t>
      </w:r>
      <w:r w:rsidR="00DD134A">
        <w:t>.</w:t>
      </w:r>
    </w:p>
    <w:p w14:paraId="119F08E8" w14:textId="6B43902F" w:rsidR="006B6FD1" w:rsidRDefault="006B6FD1" w:rsidP="00A16868">
      <w:pPr>
        <w:pStyle w:val="Heading4"/>
        <w:keepNext/>
        <w:keepLines/>
      </w:pPr>
      <w:r w:rsidRPr="00C36178">
        <w:t>Decarbonization</w:t>
      </w:r>
      <w:r>
        <w:t xml:space="preserve"> </w:t>
      </w:r>
      <w:r w:rsidR="00941CD9">
        <w:t>Summary</w:t>
      </w:r>
    </w:p>
    <w:p w14:paraId="1D2568FA" w14:textId="68F48332" w:rsidR="006B6FD1" w:rsidRDefault="00E71295" w:rsidP="006B6FD1">
      <w:pPr>
        <w:ind w:left="720"/>
      </w:pPr>
      <w:r>
        <w:fldChar w:fldCharType="begin"/>
      </w:r>
      <w:r>
        <w:instrText xml:space="preserve"> REF _Ref176253349 \h </w:instrText>
      </w:r>
      <w:r>
        <w:fldChar w:fldCharType="separate"/>
      </w:r>
      <w:r w:rsidR="008F724F">
        <w:t xml:space="preserve">Table </w:t>
      </w:r>
      <w:r w:rsidR="008F724F">
        <w:rPr>
          <w:noProof/>
        </w:rPr>
        <w:t>8</w:t>
      </w:r>
      <w:r>
        <w:fldChar w:fldCharType="end"/>
      </w:r>
      <w:r w:rsidR="006B6FD1">
        <w:t xml:space="preserve"> </w:t>
      </w:r>
      <w:r w:rsidR="006B6FD1" w:rsidRPr="00AF1550">
        <w:t xml:space="preserve">provides </w:t>
      </w:r>
      <w:r w:rsidR="006B6FD1">
        <w:t xml:space="preserve">the </w:t>
      </w:r>
      <w:r w:rsidR="006B6FD1" w:rsidRPr="00AF1550">
        <w:t xml:space="preserve">estimated </w:t>
      </w:r>
      <w:r w:rsidR="006B6FD1">
        <w:t>2025 decarbonization range for replacement of propane and fuel oil #2</w:t>
      </w:r>
      <w:r w:rsidR="006B6FD1" w:rsidRPr="0084682F">
        <w:t xml:space="preserve"> with </w:t>
      </w:r>
      <w:r w:rsidR="006B6FD1">
        <w:t>wood pellets</w:t>
      </w:r>
      <w:r w:rsidR="006B6FD1" w:rsidRPr="0084682F">
        <w:t>.</w:t>
      </w:r>
      <w:r w:rsidR="003B3CE2" w:rsidRPr="003B3CE2">
        <w:t xml:space="preserve"> </w:t>
      </w:r>
      <w:r w:rsidR="003B3CE2" w:rsidRPr="007C1EC0">
        <w:t>These estimates are not inclusive of all eligible conditions; other conditions may be calculated from the algorithms herein.</w:t>
      </w:r>
    </w:p>
    <w:p w14:paraId="1826FFDB" w14:textId="4925F44E" w:rsidR="00CE5F91" w:rsidRDefault="006B6FD1" w:rsidP="00F0605F">
      <w:pPr>
        <w:pStyle w:val="Caption"/>
        <w:keepLines/>
      </w:pPr>
      <w:bookmarkStart w:id="38" w:name="_Ref176253349"/>
      <w:r>
        <w:lastRenderedPageBreak/>
        <w:t xml:space="preserve">Table </w:t>
      </w:r>
      <w:r>
        <w:fldChar w:fldCharType="begin"/>
      </w:r>
      <w:r>
        <w:instrText xml:space="preserve"> SEQ Table \* ARABIC </w:instrText>
      </w:r>
      <w:r>
        <w:fldChar w:fldCharType="separate"/>
      </w:r>
      <w:r w:rsidR="008F724F">
        <w:rPr>
          <w:noProof/>
        </w:rPr>
        <w:t>8</w:t>
      </w:r>
      <w:r>
        <w:fldChar w:fldCharType="end"/>
      </w:r>
      <w:bookmarkEnd w:id="38"/>
      <w:r>
        <w:t>.</w:t>
      </w:r>
      <w:r w:rsidRPr="00897C4B">
        <w:t xml:space="preserve"> </w:t>
      </w:r>
      <w:r>
        <w:t xml:space="preserve">Wood Pellet </w:t>
      </w:r>
      <w:r w:rsidRPr="00897C4B">
        <w:t>CO</w:t>
      </w:r>
      <w:r w:rsidRPr="00941CD9">
        <w:rPr>
          <w:vertAlign w:val="subscript"/>
        </w:rPr>
        <w:t>2</w:t>
      </w:r>
      <w:r w:rsidRPr="00897C4B">
        <w:t>e Reductions</w:t>
      </w:r>
    </w:p>
    <w:tbl>
      <w:tblPr>
        <w:tblStyle w:val="ODCBasic-1"/>
        <w:tblW w:w="0" w:type="auto"/>
        <w:tblCellMar>
          <w:top w:w="0" w:type="dxa"/>
          <w:bottom w:w="14" w:type="dxa"/>
        </w:tblCellMar>
        <w:tblLook w:val="04A0" w:firstRow="1" w:lastRow="0" w:firstColumn="1" w:lastColumn="0" w:noHBand="0" w:noVBand="1"/>
      </w:tblPr>
      <w:tblGrid>
        <w:gridCol w:w="1486"/>
        <w:gridCol w:w="1294"/>
        <w:gridCol w:w="1288"/>
        <w:gridCol w:w="2677"/>
      </w:tblGrid>
      <w:tr w:rsidR="00CE5F91" w14:paraId="278A2764" w14:textId="77777777" w:rsidTr="00A16868">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0" w:type="auto"/>
            <w:tcBorders>
              <w:bottom w:val="single" w:sz="4" w:space="0" w:color="4A4D56" w:themeColor="text1"/>
              <w:right w:val="single" w:sz="4" w:space="0" w:color="4A4D56" w:themeColor="text1"/>
            </w:tcBorders>
          </w:tcPr>
          <w:p w14:paraId="2B322B8F" w14:textId="77777777" w:rsidR="00CE5F91" w:rsidRPr="00625570" w:rsidRDefault="00CE5F91" w:rsidP="00F0605F">
            <w:pPr>
              <w:pStyle w:val="TableHeadingLeft"/>
              <w:keepNext/>
              <w:keepLines/>
            </w:pPr>
            <w:r>
              <w:t>Alternative Fuel</w:t>
            </w:r>
          </w:p>
        </w:tc>
        <w:tc>
          <w:tcPr>
            <w:tcW w:w="0" w:type="auto"/>
            <w:tcBorders>
              <w:left w:val="single" w:sz="4" w:space="0" w:color="4A4D56" w:themeColor="text1"/>
              <w:bottom w:val="single" w:sz="4" w:space="0" w:color="4A4D56" w:themeColor="text1"/>
              <w:right w:val="single" w:sz="4" w:space="0" w:color="4A4D56" w:themeColor="text1"/>
            </w:tcBorders>
          </w:tcPr>
          <w:p w14:paraId="3EBDCCDD" w14:textId="77777777" w:rsidR="00CE5F91" w:rsidRPr="00625570" w:rsidRDefault="00CE5F91" w:rsidP="00F0605F">
            <w:pPr>
              <w:pStyle w:val="TableHeadingCentered"/>
              <w:keepNext/>
              <w:keepLines/>
              <w:cnfStyle w:val="100000000000" w:firstRow="1" w:lastRow="0" w:firstColumn="0" w:lastColumn="0" w:oddVBand="0" w:evenVBand="0" w:oddHBand="0" w:evenHBand="0" w:firstRowFirstColumn="0" w:firstRowLastColumn="0" w:lastRowFirstColumn="0" w:lastRowLastColumn="0"/>
            </w:pPr>
            <w:r>
              <w:t>Baseline Fuel</w:t>
            </w:r>
          </w:p>
        </w:tc>
        <w:tc>
          <w:tcPr>
            <w:tcW w:w="0" w:type="auto"/>
            <w:tcBorders>
              <w:left w:val="single" w:sz="4" w:space="0" w:color="4A4D56" w:themeColor="text1"/>
              <w:bottom w:val="single" w:sz="4" w:space="0" w:color="4A4D56" w:themeColor="text1"/>
              <w:right w:val="single" w:sz="4" w:space="0" w:color="4A4D56" w:themeColor="text1"/>
            </w:tcBorders>
          </w:tcPr>
          <w:p w14:paraId="126911CE" w14:textId="77777777" w:rsidR="00CE5F91" w:rsidRPr="00625570" w:rsidRDefault="00CE5F91" w:rsidP="00F0605F">
            <w:pPr>
              <w:pStyle w:val="TableHeadingCentered"/>
              <w:keepNext/>
              <w:keepLines/>
              <w:cnfStyle w:val="100000000000" w:firstRow="1" w:lastRow="0" w:firstColumn="0" w:lastColumn="0" w:oddVBand="0" w:evenVBand="0" w:oddHBand="0" w:evenHBand="0" w:firstRowFirstColumn="0" w:firstRowLastColumn="0" w:lastRowFirstColumn="0" w:lastRowLastColumn="0"/>
            </w:pPr>
            <w:r>
              <w:t>Building Type</w:t>
            </w:r>
          </w:p>
        </w:tc>
        <w:tc>
          <w:tcPr>
            <w:tcW w:w="2677" w:type="dxa"/>
            <w:tcBorders>
              <w:left w:val="single" w:sz="4" w:space="0" w:color="4A4D56" w:themeColor="text1"/>
              <w:bottom w:val="single" w:sz="4" w:space="0" w:color="4A4D56" w:themeColor="text1"/>
              <w:right w:val="single" w:sz="4" w:space="0" w:color="4A4D56" w:themeColor="text1"/>
            </w:tcBorders>
          </w:tcPr>
          <w:p w14:paraId="63DCC54E" w14:textId="4DED8B0D" w:rsidR="00CE5F91" w:rsidRPr="00625570" w:rsidRDefault="00CE5F91" w:rsidP="00F0605F">
            <w:pPr>
              <w:pStyle w:val="TableHeadingCentered"/>
              <w:keepNext/>
              <w:keepLines/>
              <w:cnfStyle w:val="100000000000" w:firstRow="1" w:lastRow="0" w:firstColumn="0" w:lastColumn="0" w:oddVBand="0" w:evenVBand="0" w:oddHBand="0" w:evenHBand="0" w:firstRowFirstColumn="0" w:firstRowLastColumn="0" w:lastRowFirstColumn="0" w:lastRowLastColumn="0"/>
            </w:pPr>
            <w:r w:rsidRPr="00B54E5A">
              <w:t>CO2e Reduction Per Unit [gCO</w:t>
            </w:r>
            <w:r w:rsidRPr="00A16868">
              <w:rPr>
                <w:vertAlign w:val="subscript"/>
              </w:rPr>
              <w:t>2</w:t>
            </w:r>
            <w:r w:rsidRPr="00B54E5A">
              <w:t>e/short ton] in 2025</w:t>
            </w:r>
          </w:p>
        </w:tc>
      </w:tr>
      <w:tr w:rsidR="00957E45" w14:paraId="16FB98D2" w14:textId="77777777" w:rsidTr="00954C03">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0" w:type="auto"/>
            <w:vMerge w:val="restart"/>
            <w:tcBorders>
              <w:top w:val="single" w:sz="4" w:space="0" w:color="4A4D56" w:themeColor="text1"/>
            </w:tcBorders>
          </w:tcPr>
          <w:p w14:paraId="35BC8863" w14:textId="282C9693" w:rsidR="00957E45" w:rsidRPr="00625570" w:rsidRDefault="00957E45" w:rsidP="00F0605F">
            <w:pPr>
              <w:pStyle w:val="TableLeftText"/>
              <w:keepNext/>
              <w:keepLines/>
            </w:pPr>
            <w:r>
              <w:t>Wood pellets</w:t>
            </w:r>
          </w:p>
        </w:tc>
        <w:tc>
          <w:tcPr>
            <w:tcW w:w="0" w:type="auto"/>
            <w:tcBorders>
              <w:top w:val="single" w:sz="4" w:space="0" w:color="4A4D56" w:themeColor="text1"/>
            </w:tcBorders>
          </w:tcPr>
          <w:p w14:paraId="1CC8FC88" w14:textId="77777777" w:rsidR="00957E45" w:rsidRPr="000B7901" w:rsidRDefault="00957E45" w:rsidP="00F0605F">
            <w:pPr>
              <w:pStyle w:val="TableCenterText"/>
              <w:keepNext/>
              <w:keepLines/>
              <w:cnfStyle w:val="000000100000" w:firstRow="0" w:lastRow="0" w:firstColumn="0" w:lastColumn="0" w:oddVBand="0" w:evenVBand="0" w:oddHBand="1" w:evenHBand="0" w:firstRowFirstColumn="0" w:firstRowLastColumn="0" w:lastRowFirstColumn="0" w:lastRowLastColumn="0"/>
            </w:pPr>
            <w:r>
              <w:t>Propane</w:t>
            </w:r>
          </w:p>
        </w:tc>
        <w:tc>
          <w:tcPr>
            <w:tcW w:w="0" w:type="auto"/>
            <w:tcBorders>
              <w:top w:val="single" w:sz="4" w:space="0" w:color="4A4D56" w:themeColor="text1"/>
            </w:tcBorders>
          </w:tcPr>
          <w:p w14:paraId="658CBA95" w14:textId="77777777" w:rsidR="00957E45" w:rsidRPr="000B7901" w:rsidRDefault="00957E45" w:rsidP="00F0605F">
            <w:pPr>
              <w:pStyle w:val="TableCenterText"/>
              <w:keepNext/>
              <w:keepLines/>
              <w:cnfStyle w:val="000000100000" w:firstRow="0" w:lastRow="0" w:firstColumn="0" w:lastColumn="0" w:oddVBand="0" w:evenVBand="0" w:oddHBand="1" w:evenHBand="0" w:firstRowFirstColumn="0" w:firstRowLastColumn="0" w:lastRowFirstColumn="0" w:lastRowLastColumn="0"/>
            </w:pPr>
            <w:r>
              <w:t>N/A</w:t>
            </w:r>
          </w:p>
        </w:tc>
        <w:tc>
          <w:tcPr>
            <w:tcW w:w="2677" w:type="dxa"/>
            <w:tcBorders>
              <w:top w:val="single" w:sz="4" w:space="0" w:color="4A4D56" w:themeColor="text1"/>
            </w:tcBorders>
          </w:tcPr>
          <w:p w14:paraId="62DEC36A" w14:textId="26387E02" w:rsidR="00957E45" w:rsidRPr="000B7901" w:rsidRDefault="00957E45" w:rsidP="00F0605F">
            <w:pPr>
              <w:pStyle w:val="TableCenterText"/>
              <w:keepNext/>
              <w:keepLines/>
              <w:jc w:val="right"/>
              <w:cnfStyle w:val="000000100000" w:firstRow="0" w:lastRow="0" w:firstColumn="0" w:lastColumn="0" w:oddVBand="0" w:evenVBand="0" w:oddHBand="1" w:evenHBand="0" w:firstRowFirstColumn="0" w:firstRowLastColumn="0" w:lastRowFirstColumn="0" w:lastRowLastColumn="0"/>
            </w:pPr>
            <w:r w:rsidRPr="00990AA0">
              <w:t>309,155</w:t>
            </w:r>
          </w:p>
        </w:tc>
      </w:tr>
      <w:tr w:rsidR="00957E45" w14:paraId="491FCE92" w14:textId="77777777" w:rsidTr="00954C03">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0" w:type="auto"/>
            <w:vMerge/>
          </w:tcPr>
          <w:p w14:paraId="4D226590" w14:textId="77777777" w:rsidR="00957E45" w:rsidRPr="00625570" w:rsidRDefault="00957E45" w:rsidP="00F0605F">
            <w:pPr>
              <w:pStyle w:val="TableLeftText"/>
              <w:keepNext/>
              <w:keepLines/>
            </w:pPr>
          </w:p>
        </w:tc>
        <w:tc>
          <w:tcPr>
            <w:tcW w:w="0" w:type="auto"/>
          </w:tcPr>
          <w:p w14:paraId="3B9F24C6" w14:textId="77777777" w:rsidR="00957E45" w:rsidRPr="000B7901" w:rsidRDefault="00957E45" w:rsidP="00F0605F">
            <w:pPr>
              <w:pStyle w:val="TableCenterText"/>
              <w:keepNext/>
              <w:keepLines/>
              <w:cnfStyle w:val="000000010000" w:firstRow="0" w:lastRow="0" w:firstColumn="0" w:lastColumn="0" w:oddVBand="0" w:evenVBand="0" w:oddHBand="0" w:evenHBand="1" w:firstRowFirstColumn="0" w:firstRowLastColumn="0" w:lastRowFirstColumn="0" w:lastRowLastColumn="0"/>
            </w:pPr>
            <w:r>
              <w:t>Fuel oil #2</w:t>
            </w:r>
          </w:p>
        </w:tc>
        <w:tc>
          <w:tcPr>
            <w:tcW w:w="0" w:type="auto"/>
          </w:tcPr>
          <w:p w14:paraId="63528323" w14:textId="77777777" w:rsidR="00957E45" w:rsidRPr="000B7901" w:rsidRDefault="00957E45" w:rsidP="00F0605F">
            <w:pPr>
              <w:pStyle w:val="TableCenterText"/>
              <w:keepNext/>
              <w:keepLines/>
              <w:cnfStyle w:val="000000010000" w:firstRow="0" w:lastRow="0" w:firstColumn="0" w:lastColumn="0" w:oddVBand="0" w:evenVBand="0" w:oddHBand="0" w:evenHBand="1" w:firstRowFirstColumn="0" w:firstRowLastColumn="0" w:lastRowFirstColumn="0" w:lastRowLastColumn="0"/>
            </w:pPr>
            <w:r>
              <w:t>N/A</w:t>
            </w:r>
          </w:p>
        </w:tc>
        <w:tc>
          <w:tcPr>
            <w:tcW w:w="2677" w:type="dxa"/>
          </w:tcPr>
          <w:p w14:paraId="6F7DD34B" w14:textId="6046DB1B" w:rsidR="00957E45" w:rsidRPr="000B7901" w:rsidRDefault="00957E45" w:rsidP="00F0605F">
            <w:pPr>
              <w:pStyle w:val="TableCenterText"/>
              <w:keepNext/>
              <w:keepLines/>
              <w:jc w:val="right"/>
              <w:cnfStyle w:val="000000010000" w:firstRow="0" w:lastRow="0" w:firstColumn="0" w:lastColumn="0" w:oddVBand="0" w:evenVBand="0" w:oddHBand="0" w:evenHBand="1" w:firstRowFirstColumn="0" w:firstRowLastColumn="0" w:lastRowFirstColumn="0" w:lastRowLastColumn="0"/>
            </w:pPr>
            <w:r w:rsidRPr="00990AA0">
              <w:t>471,891</w:t>
            </w:r>
          </w:p>
        </w:tc>
      </w:tr>
      <w:tr w:rsidR="00957E45" w14:paraId="66CD6E28" w14:textId="77777777" w:rsidTr="00954C03">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0" w:type="auto"/>
            <w:vMerge/>
          </w:tcPr>
          <w:p w14:paraId="64448749" w14:textId="77777777" w:rsidR="00957E45" w:rsidRPr="00625570" w:rsidRDefault="00957E45" w:rsidP="00F0605F">
            <w:pPr>
              <w:pStyle w:val="TableLeftText"/>
              <w:keepNext/>
              <w:keepLines/>
            </w:pPr>
          </w:p>
        </w:tc>
        <w:tc>
          <w:tcPr>
            <w:tcW w:w="0" w:type="auto"/>
          </w:tcPr>
          <w:p w14:paraId="3406E9F7" w14:textId="693D3A0B" w:rsidR="00957E45" w:rsidRPr="000B7901" w:rsidRDefault="00957E45" w:rsidP="00F0605F">
            <w:pPr>
              <w:pStyle w:val="TableCenterText"/>
              <w:keepNext/>
              <w:keepLines/>
              <w:cnfStyle w:val="000000100000" w:firstRow="0" w:lastRow="0" w:firstColumn="0" w:lastColumn="0" w:oddVBand="0" w:evenVBand="0" w:oddHBand="1" w:evenHBand="0" w:firstRowFirstColumn="0" w:firstRowLastColumn="0" w:lastRowFirstColumn="0" w:lastRowLastColumn="0"/>
            </w:pPr>
            <w:r>
              <w:t>Natural gas</w:t>
            </w:r>
          </w:p>
        </w:tc>
        <w:tc>
          <w:tcPr>
            <w:tcW w:w="0" w:type="auto"/>
          </w:tcPr>
          <w:p w14:paraId="084A7888" w14:textId="77777777" w:rsidR="00957E45" w:rsidRPr="000B7901" w:rsidRDefault="00957E45" w:rsidP="00F0605F">
            <w:pPr>
              <w:pStyle w:val="TableCenterText"/>
              <w:keepNext/>
              <w:keepLines/>
              <w:cnfStyle w:val="000000100000" w:firstRow="0" w:lastRow="0" w:firstColumn="0" w:lastColumn="0" w:oddVBand="0" w:evenVBand="0" w:oddHBand="1" w:evenHBand="0" w:firstRowFirstColumn="0" w:firstRowLastColumn="0" w:lastRowFirstColumn="0" w:lastRowLastColumn="0"/>
            </w:pPr>
            <w:r>
              <w:t>N/A</w:t>
            </w:r>
          </w:p>
        </w:tc>
        <w:tc>
          <w:tcPr>
            <w:tcW w:w="2677" w:type="dxa"/>
          </w:tcPr>
          <w:p w14:paraId="2BFEBE0B" w14:textId="1950867C" w:rsidR="00957E45" w:rsidRPr="000B7901" w:rsidRDefault="00957E45" w:rsidP="00F0605F">
            <w:pPr>
              <w:pStyle w:val="TableCenterText"/>
              <w:keepNext/>
              <w:keepLines/>
              <w:jc w:val="right"/>
              <w:cnfStyle w:val="000000100000" w:firstRow="0" w:lastRow="0" w:firstColumn="0" w:lastColumn="0" w:oddVBand="0" w:evenVBand="0" w:oddHBand="1" w:evenHBand="0" w:firstRowFirstColumn="0" w:firstRowLastColumn="0" w:lastRowFirstColumn="0" w:lastRowLastColumn="0"/>
            </w:pPr>
            <w:r w:rsidRPr="00990AA0">
              <w:t>138,862</w:t>
            </w:r>
          </w:p>
        </w:tc>
      </w:tr>
      <w:tr w:rsidR="00957E45" w14:paraId="5569D794" w14:textId="77777777" w:rsidTr="00954C03">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0" w:type="auto"/>
            <w:vMerge/>
          </w:tcPr>
          <w:p w14:paraId="7207DD47" w14:textId="77777777" w:rsidR="00957E45" w:rsidRPr="00625570" w:rsidRDefault="00957E45" w:rsidP="00F0605F">
            <w:pPr>
              <w:pStyle w:val="TableLeftText"/>
              <w:keepNext/>
              <w:keepLines/>
            </w:pPr>
          </w:p>
        </w:tc>
        <w:tc>
          <w:tcPr>
            <w:tcW w:w="0" w:type="auto"/>
            <w:vMerge w:val="restart"/>
          </w:tcPr>
          <w:p w14:paraId="32C0EA73" w14:textId="77777777" w:rsidR="00957E45" w:rsidRPr="000B7901" w:rsidRDefault="00957E45" w:rsidP="00F0605F">
            <w:pPr>
              <w:pStyle w:val="TableCenterText"/>
              <w:keepNext/>
              <w:keepLines/>
              <w:cnfStyle w:val="000000010000" w:firstRow="0" w:lastRow="0" w:firstColumn="0" w:lastColumn="0" w:oddVBand="0" w:evenVBand="0" w:oddHBand="0" w:evenHBand="1" w:firstRowFirstColumn="0" w:firstRowLastColumn="0" w:lastRowFirstColumn="0" w:lastRowLastColumn="0"/>
            </w:pPr>
            <w:r>
              <w:t>Unknown</w:t>
            </w:r>
          </w:p>
        </w:tc>
        <w:tc>
          <w:tcPr>
            <w:tcW w:w="0" w:type="auto"/>
          </w:tcPr>
          <w:p w14:paraId="2DEF08C8" w14:textId="352DE6AF" w:rsidR="00957E45" w:rsidRPr="000B7901" w:rsidRDefault="00957E45" w:rsidP="00F0605F">
            <w:pPr>
              <w:pStyle w:val="TableCenterText"/>
              <w:keepNext/>
              <w:keepLines/>
              <w:cnfStyle w:val="000000010000" w:firstRow="0" w:lastRow="0" w:firstColumn="0" w:lastColumn="0" w:oddVBand="0" w:evenVBand="0" w:oddHBand="0" w:evenHBand="1" w:firstRowFirstColumn="0" w:firstRowLastColumn="0" w:lastRowFirstColumn="0" w:lastRowLastColumn="0"/>
            </w:pPr>
            <w:r>
              <w:t xml:space="preserve">Single </w:t>
            </w:r>
            <w:r w:rsidR="00F0605F">
              <w:t>f</w:t>
            </w:r>
            <w:r>
              <w:t>amily</w:t>
            </w:r>
          </w:p>
        </w:tc>
        <w:tc>
          <w:tcPr>
            <w:tcW w:w="2677" w:type="dxa"/>
          </w:tcPr>
          <w:p w14:paraId="4630B3AD" w14:textId="4143F732" w:rsidR="00957E45" w:rsidRPr="000B7901" w:rsidRDefault="00957E45" w:rsidP="00F0605F">
            <w:pPr>
              <w:pStyle w:val="TableCenterText"/>
              <w:keepNext/>
              <w:keepLines/>
              <w:jc w:val="right"/>
              <w:cnfStyle w:val="000000010000" w:firstRow="0" w:lastRow="0" w:firstColumn="0" w:lastColumn="0" w:oddVBand="0" w:evenVBand="0" w:oddHBand="0" w:evenHBand="1" w:firstRowFirstColumn="0" w:firstRowLastColumn="0" w:lastRowFirstColumn="0" w:lastRowLastColumn="0"/>
            </w:pPr>
            <w:r w:rsidRPr="00990AA0">
              <w:t>254,158</w:t>
            </w:r>
          </w:p>
        </w:tc>
      </w:tr>
      <w:tr w:rsidR="00957E45" w14:paraId="326AC4A4" w14:textId="77777777" w:rsidTr="00954C03">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0" w:type="auto"/>
            <w:vMerge/>
          </w:tcPr>
          <w:p w14:paraId="1E3A2101" w14:textId="77777777" w:rsidR="00957E45" w:rsidRPr="00625570" w:rsidRDefault="00957E45" w:rsidP="00F0605F">
            <w:pPr>
              <w:pStyle w:val="TableLeftText"/>
              <w:keepNext/>
              <w:keepLines/>
            </w:pPr>
          </w:p>
        </w:tc>
        <w:tc>
          <w:tcPr>
            <w:tcW w:w="0" w:type="auto"/>
            <w:vMerge/>
          </w:tcPr>
          <w:p w14:paraId="3710E826" w14:textId="77777777" w:rsidR="00957E45" w:rsidRPr="000B7901" w:rsidRDefault="00957E45" w:rsidP="00F0605F">
            <w:pPr>
              <w:pStyle w:val="TableCenterText"/>
              <w:keepNext/>
              <w:keepLines/>
              <w:cnfStyle w:val="000000100000" w:firstRow="0" w:lastRow="0" w:firstColumn="0" w:lastColumn="0" w:oddVBand="0" w:evenVBand="0" w:oddHBand="1" w:evenHBand="0" w:firstRowFirstColumn="0" w:firstRowLastColumn="0" w:lastRowFirstColumn="0" w:lastRowLastColumn="0"/>
            </w:pPr>
          </w:p>
        </w:tc>
        <w:tc>
          <w:tcPr>
            <w:tcW w:w="0" w:type="auto"/>
          </w:tcPr>
          <w:p w14:paraId="1EA6C9E8" w14:textId="1C156204" w:rsidR="00957E45" w:rsidRDefault="00957E45" w:rsidP="00F0605F">
            <w:pPr>
              <w:pStyle w:val="TableCenterText"/>
              <w:keepNext/>
              <w:keepLines/>
              <w:cnfStyle w:val="000000100000" w:firstRow="0" w:lastRow="0" w:firstColumn="0" w:lastColumn="0" w:oddVBand="0" w:evenVBand="0" w:oddHBand="1" w:evenHBand="0" w:firstRowFirstColumn="0" w:firstRowLastColumn="0" w:lastRowFirstColumn="0" w:lastRowLastColumn="0"/>
            </w:pPr>
            <w:r>
              <w:t>Multifamily</w:t>
            </w:r>
          </w:p>
        </w:tc>
        <w:tc>
          <w:tcPr>
            <w:tcW w:w="2677" w:type="dxa"/>
          </w:tcPr>
          <w:p w14:paraId="7F9C836C" w14:textId="676F232F" w:rsidR="00957E45" w:rsidRPr="00067139" w:rsidRDefault="00957E45" w:rsidP="00F0605F">
            <w:pPr>
              <w:pStyle w:val="TableCenterText"/>
              <w:keepNext/>
              <w:keepLines/>
              <w:jc w:val="right"/>
              <w:cnfStyle w:val="000000100000" w:firstRow="0" w:lastRow="0" w:firstColumn="0" w:lastColumn="0" w:oddVBand="0" w:evenVBand="0" w:oddHBand="1" w:evenHBand="0" w:firstRowFirstColumn="0" w:firstRowLastColumn="0" w:lastRowFirstColumn="0" w:lastRowLastColumn="0"/>
            </w:pPr>
            <w:r w:rsidRPr="00990AA0">
              <w:t>60,044</w:t>
            </w:r>
          </w:p>
        </w:tc>
      </w:tr>
      <w:tr w:rsidR="00957E45" w14:paraId="75B72097" w14:textId="77777777" w:rsidTr="00954C03">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0" w:type="auto"/>
            <w:vMerge/>
          </w:tcPr>
          <w:p w14:paraId="5880198A" w14:textId="77777777" w:rsidR="00957E45" w:rsidRPr="00625570" w:rsidRDefault="00957E45" w:rsidP="00957E45">
            <w:pPr>
              <w:pStyle w:val="TableLeftText"/>
            </w:pPr>
          </w:p>
        </w:tc>
        <w:tc>
          <w:tcPr>
            <w:tcW w:w="0" w:type="auto"/>
            <w:vMerge/>
          </w:tcPr>
          <w:p w14:paraId="456095A1" w14:textId="77777777" w:rsidR="00957E45" w:rsidRPr="000B7901" w:rsidRDefault="00957E45" w:rsidP="00957E45">
            <w:pPr>
              <w:pStyle w:val="TableCenterText"/>
              <w:cnfStyle w:val="000000010000" w:firstRow="0" w:lastRow="0" w:firstColumn="0" w:lastColumn="0" w:oddVBand="0" w:evenVBand="0" w:oddHBand="0" w:evenHBand="1" w:firstRowFirstColumn="0" w:firstRowLastColumn="0" w:lastRowFirstColumn="0" w:lastRowLastColumn="0"/>
            </w:pPr>
          </w:p>
        </w:tc>
        <w:tc>
          <w:tcPr>
            <w:tcW w:w="0" w:type="auto"/>
          </w:tcPr>
          <w:p w14:paraId="25591ACE" w14:textId="7CD6CBA7" w:rsidR="00957E45" w:rsidRPr="000B7901" w:rsidRDefault="00957E45" w:rsidP="00957E45">
            <w:pPr>
              <w:pStyle w:val="TableCenterText"/>
              <w:cnfStyle w:val="000000010000" w:firstRow="0" w:lastRow="0" w:firstColumn="0" w:lastColumn="0" w:oddVBand="0" w:evenVBand="0" w:oddHBand="0" w:evenHBand="1" w:firstRowFirstColumn="0" w:firstRowLastColumn="0" w:lastRowFirstColumn="0" w:lastRowLastColumn="0"/>
            </w:pPr>
            <w:r>
              <w:t>Unknown</w:t>
            </w:r>
          </w:p>
        </w:tc>
        <w:tc>
          <w:tcPr>
            <w:tcW w:w="2677" w:type="dxa"/>
          </w:tcPr>
          <w:p w14:paraId="66661817" w14:textId="2DA5C31A" w:rsidR="00957E45" w:rsidRPr="000B7901" w:rsidRDefault="00957E45" w:rsidP="00957E45">
            <w:pPr>
              <w:pStyle w:val="TableCenterText"/>
              <w:jc w:val="right"/>
              <w:cnfStyle w:val="000000010000" w:firstRow="0" w:lastRow="0" w:firstColumn="0" w:lastColumn="0" w:oddVBand="0" w:evenVBand="0" w:oddHBand="0" w:evenHBand="1" w:firstRowFirstColumn="0" w:firstRowLastColumn="0" w:lastRowFirstColumn="0" w:lastRowLastColumn="0"/>
            </w:pPr>
            <w:r w:rsidRPr="00990AA0">
              <w:t>233,693</w:t>
            </w:r>
          </w:p>
        </w:tc>
      </w:tr>
    </w:tbl>
    <w:p w14:paraId="1B46681F" w14:textId="7ADFD14C" w:rsidR="006B6FD1" w:rsidRDefault="006B6FD1" w:rsidP="006B6FD1">
      <w:pPr>
        <w:pStyle w:val="Heading4"/>
      </w:pPr>
      <w:r>
        <w:t xml:space="preserve">Decarbonization </w:t>
      </w:r>
      <w:r w:rsidRPr="00AF1550">
        <w:t xml:space="preserve">and Energy </w:t>
      </w:r>
      <w:r w:rsidR="00941CD9">
        <w:t>I</w:t>
      </w:r>
      <w:r w:rsidR="00941CD9" w:rsidRPr="00AF1550">
        <w:t xml:space="preserve">mpacts </w:t>
      </w:r>
      <w:r>
        <w:t>Algorithms</w:t>
      </w:r>
    </w:p>
    <w:p w14:paraId="6F48BF65" w14:textId="4613B994" w:rsidR="00D57932" w:rsidRPr="00AF1550" w:rsidRDefault="00D57932" w:rsidP="00D57932">
      <w:r w:rsidRPr="00AF1550">
        <w:tab/>
        <w:t>CO</w:t>
      </w:r>
      <w:r w:rsidRPr="007A6B38">
        <w:rPr>
          <w:vertAlign w:val="subscript"/>
        </w:rPr>
        <w:t>2</w:t>
      </w:r>
      <w:r w:rsidRPr="00AF1550">
        <w:t>e (gCO</w:t>
      </w:r>
      <w:r>
        <w:rPr>
          <w:vertAlign w:val="subscript"/>
        </w:rPr>
        <w:t>2</w:t>
      </w:r>
      <w:r w:rsidRPr="00AF1550">
        <w:t xml:space="preserve">e) = </w:t>
      </w:r>
      <m:oMath>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base</m:t>
                </m:r>
              </m:sub>
            </m:sSub>
            <m:r>
              <w:rPr>
                <w:rFonts w:ascii="Cambria Math" w:hAnsi="Cambria Math"/>
              </w:rPr>
              <m:t>-</m:t>
            </m:r>
            <m:sSub>
              <m:sSubPr>
                <m:ctrlPr>
                  <w:rPr>
                    <w:rFonts w:ascii="Cambria Math" w:hAnsi="Cambria Math"/>
                    <w:i/>
                  </w:rPr>
                </m:ctrlPr>
              </m:sSubPr>
              <m:e>
                <m:r>
                  <w:rPr>
                    <w:rFonts w:ascii="Cambria Math" w:hAnsi="Cambria Math"/>
                  </w:rPr>
                  <m:t>CI</m:t>
                </m:r>
              </m:e>
              <m:sub>
                <m:r>
                  <w:rPr>
                    <w:rFonts w:ascii="Cambria Math" w:hAnsi="Cambria Math"/>
                  </w:rPr>
                  <m:t>prop</m:t>
                </m:r>
              </m:sub>
            </m:sSub>
          </m:e>
        </m:d>
        <m:r>
          <w:rPr>
            <w:rFonts w:ascii="Cambria Math" w:hAnsi="Cambria Math"/>
          </w:rPr>
          <m:t>×E</m:t>
        </m:r>
      </m:oMath>
    </w:p>
    <w:p w14:paraId="60AB76AC" w14:textId="6D155F94" w:rsidR="002203CC" w:rsidRDefault="00A86DE3" w:rsidP="002203CC">
      <w:pPr>
        <w:ind w:left="1440"/>
      </w:pPr>
      <w:proofErr w:type="spellStart"/>
      <w:r>
        <w:t>CI</w:t>
      </w:r>
      <w:r w:rsidR="00D57932" w:rsidRPr="00AF1550">
        <w:rPr>
          <w:vertAlign w:val="subscript"/>
        </w:rPr>
        <w:t>base</w:t>
      </w:r>
      <w:proofErr w:type="spellEnd"/>
      <w:r w:rsidR="00D57932" w:rsidRPr="00AF1550">
        <w:t xml:space="preserve"> = </w:t>
      </w:r>
      <w:r w:rsidR="002B2C69">
        <w:t>Baseline</w:t>
      </w:r>
      <w:r w:rsidR="00DD134A">
        <w:t xml:space="preserve"> fuel</w:t>
      </w:r>
      <w:r w:rsidR="00CE5F91">
        <w:t xml:space="preserve"> carbon intensity value</w:t>
      </w:r>
      <w:r w:rsidR="002B2C69">
        <w:t xml:space="preserve"> </w:t>
      </w:r>
      <w:r w:rsidR="00DD134A">
        <w:t>(</w:t>
      </w:r>
      <w:r w:rsidR="00D57932">
        <w:t>gCO</w:t>
      </w:r>
      <w:r w:rsidR="00D57932" w:rsidRPr="0041296A">
        <w:rPr>
          <w:vertAlign w:val="subscript"/>
        </w:rPr>
        <w:t>2</w:t>
      </w:r>
      <w:r w:rsidR="00D57932" w:rsidRPr="00A45E83">
        <w:t>e</w:t>
      </w:r>
      <w:r w:rsidR="00D57932">
        <w:t>/MJ</w:t>
      </w:r>
      <w:r w:rsidR="00DD134A">
        <w:t>)</w:t>
      </w:r>
      <w:r w:rsidR="00D57932">
        <w:t xml:space="preserve">. Varies by year; see </w:t>
      </w:r>
      <w:r w:rsidR="00257E63">
        <w:t>&lt;EMISSIONS SCHEDULE&gt; in &lt;FRONT MATTER SECTION&gt;</w:t>
      </w:r>
      <w:r w:rsidR="00D57932">
        <w:t>.</w:t>
      </w:r>
      <w:r w:rsidR="002203CC" w:rsidRPr="002203CC">
        <w:t xml:space="preserve"> </w:t>
      </w:r>
      <w:r w:rsidR="002203CC">
        <w:t xml:space="preserve">If the baseline fuel is unknown, calculate a weighted </w:t>
      </w:r>
      <w:proofErr w:type="spellStart"/>
      <w:r>
        <w:t>CI</w:t>
      </w:r>
      <w:r w:rsidR="002203CC" w:rsidRPr="008D1B9B">
        <w:rPr>
          <w:vertAlign w:val="subscript"/>
        </w:rPr>
        <w:t>base</w:t>
      </w:r>
      <w:proofErr w:type="spellEnd"/>
      <w:r w:rsidR="002203CC">
        <w:t xml:space="preserve"> using the formula below and the heating fuel mix in </w:t>
      </w:r>
      <w:r w:rsidR="003C1394">
        <w:fldChar w:fldCharType="begin"/>
      </w:r>
      <w:r w:rsidR="003C1394">
        <w:instrText xml:space="preserve"> REF _Ref176260811 \h </w:instrText>
      </w:r>
      <w:r w:rsidR="003C1394">
        <w:fldChar w:fldCharType="separate"/>
      </w:r>
      <w:r w:rsidR="008F724F">
        <w:t xml:space="preserve">Table </w:t>
      </w:r>
      <w:r w:rsidR="008F724F">
        <w:rPr>
          <w:noProof/>
        </w:rPr>
        <w:t>9</w:t>
      </w:r>
      <w:r w:rsidR="003C1394">
        <w:fldChar w:fldCharType="end"/>
      </w:r>
      <w:r w:rsidR="003C1394">
        <w:t xml:space="preserve"> </w:t>
      </w:r>
      <w:r w:rsidR="002203CC">
        <w:t xml:space="preserve">for the applicable building type and the corresponding baseline fuel </w:t>
      </w:r>
      <w:r w:rsidR="00CE5F91">
        <w:t>carbon intensity value</w:t>
      </w:r>
      <w:r w:rsidR="002203CC">
        <w:t xml:space="preserve"> from </w:t>
      </w:r>
      <w:r w:rsidR="00257E63">
        <w:t>&lt;EMISSIONS SCHEDULE&gt; in &lt;FRONT MATTER SECTION&gt;</w:t>
      </w:r>
      <w:r w:rsidR="002203CC">
        <w:t>.</w:t>
      </w:r>
    </w:p>
    <w:p w14:paraId="2922F139" w14:textId="45337F42" w:rsidR="00880BF7" w:rsidRDefault="00A86DE3" w:rsidP="003C1394">
      <w:pPr>
        <w:ind w:left="1440"/>
      </w:pPr>
      <w:bookmarkStart w:id="39" w:name="_Ref176258832"/>
      <w:proofErr w:type="spellStart"/>
      <w:r>
        <w:t>CI</w:t>
      </w:r>
      <w:r w:rsidR="00880BF7" w:rsidRPr="008D1B9B">
        <w:rPr>
          <w:vertAlign w:val="subscript"/>
        </w:rPr>
        <w:t>base</w:t>
      </w:r>
      <w:proofErr w:type="spellEnd"/>
      <w:r w:rsidR="00880BF7">
        <w:t xml:space="preserve"> = </w:t>
      </w:r>
      <m:oMath>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fueloil</m:t>
                </m:r>
              </m:sub>
            </m:sSub>
            <m:r>
              <w:rPr>
                <w:rFonts w:ascii="Cambria Math" w:hAnsi="Cambria Math"/>
              </w:rPr>
              <m:t>×%FuelOil</m:t>
            </m:r>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propane</m:t>
                </m:r>
              </m:sub>
            </m:sSub>
            <m:r>
              <w:rPr>
                <w:rFonts w:ascii="Cambria Math" w:hAnsi="Cambria Math"/>
              </w:rPr>
              <m:t>×%Propane</m:t>
            </m:r>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naturalgas</m:t>
                </m:r>
              </m:sub>
            </m:sSub>
            <m:r>
              <w:rPr>
                <w:rFonts w:ascii="Cambria Math" w:hAnsi="Cambria Math"/>
              </w:rPr>
              <m:t>×%NaturalGas</m:t>
            </m:r>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electricity</m:t>
                </m:r>
              </m:sub>
            </m:sSub>
            <m:r>
              <w:rPr>
                <w:rFonts w:ascii="Cambria Math" w:hAnsi="Cambria Math"/>
              </w:rPr>
              <m:t>×%Electricity</m:t>
            </m:r>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wood</m:t>
                </m:r>
              </m:sub>
            </m:sSub>
            <m:r>
              <w:rPr>
                <w:rFonts w:ascii="Cambria Math" w:hAnsi="Cambria Math"/>
              </w:rPr>
              <m:t>×%Wood</m:t>
            </m:r>
          </m:e>
        </m:d>
      </m:oMath>
    </w:p>
    <w:p w14:paraId="3C8CEA47" w14:textId="7A14FE61" w:rsidR="00880BF7" w:rsidRDefault="001B0413" w:rsidP="00941CD9">
      <w:pPr>
        <w:ind w:left="2160"/>
      </w:pPr>
      <w:r>
        <w:t>%</w:t>
      </w:r>
      <w:proofErr w:type="spellStart"/>
      <w:r>
        <w:t>FuelOil</w:t>
      </w:r>
      <w:proofErr w:type="spellEnd"/>
      <w:r>
        <w:t xml:space="preserve">, etc. = Relative proportion of fuel in Vermont’s thermal sector </w:t>
      </w:r>
      <w:r w:rsidR="00880BF7">
        <w:rPr>
          <w:rFonts w:asciiTheme="minorHAnsi" w:hAnsiTheme="minorHAnsi" w:cs="Calibri"/>
        </w:rPr>
        <w:t>(see</w:t>
      </w:r>
      <w:r w:rsidR="003C1394">
        <w:rPr>
          <w:rFonts w:asciiTheme="minorHAnsi" w:hAnsiTheme="minorHAnsi" w:cs="Calibri"/>
        </w:rPr>
        <w:t xml:space="preserve"> </w:t>
      </w:r>
      <w:r w:rsidR="003C1394">
        <w:fldChar w:fldCharType="begin"/>
      </w:r>
      <w:r w:rsidR="003C1394">
        <w:instrText xml:space="preserve"> REF _Ref176260811 \h </w:instrText>
      </w:r>
      <w:r w:rsidR="003C1394">
        <w:fldChar w:fldCharType="separate"/>
      </w:r>
      <w:r w:rsidR="008F724F">
        <w:t xml:space="preserve">Table </w:t>
      </w:r>
      <w:r w:rsidR="008F724F">
        <w:rPr>
          <w:noProof/>
        </w:rPr>
        <w:t>9</w:t>
      </w:r>
      <w:r w:rsidR="003C1394">
        <w:fldChar w:fldCharType="end"/>
      </w:r>
      <w:r w:rsidR="00880BF7">
        <w:rPr>
          <w:rFonts w:asciiTheme="minorHAnsi" w:hAnsiTheme="minorHAnsi" w:cs="Calibri"/>
        </w:rPr>
        <w:t>)</w:t>
      </w:r>
      <w:r w:rsidR="00CE5F91">
        <w:rPr>
          <w:rFonts w:asciiTheme="minorHAnsi" w:hAnsiTheme="minorHAnsi" w:cs="Calibri"/>
        </w:rPr>
        <w:t>.</w:t>
      </w:r>
    </w:p>
    <w:p w14:paraId="22B0D1ED" w14:textId="5F4D7B6B" w:rsidR="003C1394" w:rsidRDefault="00A86DE3" w:rsidP="00941CD9">
      <w:pPr>
        <w:ind w:left="2160"/>
      </w:pPr>
      <w:proofErr w:type="spellStart"/>
      <w:r>
        <w:t>CI</w:t>
      </w:r>
      <w:r w:rsidR="00880BF7">
        <w:rPr>
          <w:vertAlign w:val="subscript"/>
        </w:rPr>
        <w:t>fueloil</w:t>
      </w:r>
      <w:proofErr w:type="spellEnd"/>
      <w:r w:rsidR="00880BF7">
        <w:t xml:space="preserve">, etc. = </w:t>
      </w:r>
      <w:r w:rsidR="00CE5F91">
        <w:t>Carbon intensity value</w:t>
      </w:r>
      <w:r w:rsidR="00880BF7">
        <w:t xml:space="preserve"> </w:t>
      </w:r>
      <w:r w:rsidR="00DD134A">
        <w:t>(</w:t>
      </w:r>
      <w:r w:rsidR="00880BF7" w:rsidRPr="00880BF7">
        <w:t>gCO</w:t>
      </w:r>
      <w:r w:rsidR="00880BF7" w:rsidRPr="00A16868">
        <w:rPr>
          <w:vertAlign w:val="subscript"/>
        </w:rPr>
        <w:t>2</w:t>
      </w:r>
      <w:r w:rsidR="00880BF7" w:rsidRPr="00880BF7">
        <w:t>e/MJ</w:t>
      </w:r>
      <w:r w:rsidR="00DD134A">
        <w:t>)</w:t>
      </w:r>
      <w:r w:rsidR="00880BF7" w:rsidRPr="00880BF7">
        <w:t xml:space="preserve"> for each fuel</w:t>
      </w:r>
      <w:r w:rsidR="00880BF7">
        <w:t>,</w:t>
      </w:r>
      <w:r w:rsidR="00880BF7" w:rsidRPr="00880BF7">
        <w:t xml:space="preserve"> </w:t>
      </w:r>
      <w:r w:rsidR="00880BF7">
        <w:t xml:space="preserve">see </w:t>
      </w:r>
      <w:r w:rsidR="00257E63">
        <w:t>&lt;EMISSIONS SCHEDULE&gt; in &lt;FRONT MATTER SECTION&gt;</w:t>
      </w:r>
      <w:r w:rsidR="00880BF7">
        <w:t xml:space="preserve">. For wood, assume a 50-50 blend of </w:t>
      </w:r>
      <w:r w:rsidR="00813BC9" w:rsidRPr="00880BF7">
        <w:t xml:space="preserve">Wood </w:t>
      </w:r>
      <w:r w:rsidR="00813BC9">
        <w:t>Pellets</w:t>
      </w:r>
      <w:r w:rsidR="00813BC9" w:rsidRPr="00880BF7">
        <w:t xml:space="preserve"> and Firewood</w:t>
      </w:r>
      <w:r w:rsidR="003C1394">
        <w:t>.</w:t>
      </w:r>
    </w:p>
    <w:p w14:paraId="47DD7C2A" w14:textId="74B2B549" w:rsidR="002203CC" w:rsidRDefault="003C1394" w:rsidP="00941CD9">
      <w:pPr>
        <w:pStyle w:val="Caption"/>
      </w:pPr>
      <w:bookmarkStart w:id="40" w:name="_Ref176260811"/>
      <w:r>
        <w:t>T</w:t>
      </w:r>
      <w:r w:rsidR="002203CC">
        <w:t xml:space="preserve">able </w:t>
      </w:r>
      <w:r w:rsidR="002203CC">
        <w:fldChar w:fldCharType="begin"/>
      </w:r>
      <w:r w:rsidR="002203CC">
        <w:instrText xml:space="preserve"> SEQ Table \* ARABIC </w:instrText>
      </w:r>
      <w:r w:rsidR="002203CC">
        <w:fldChar w:fldCharType="separate"/>
      </w:r>
      <w:r w:rsidR="008F724F">
        <w:rPr>
          <w:noProof/>
        </w:rPr>
        <w:t>9</w:t>
      </w:r>
      <w:r w:rsidR="002203CC">
        <w:fldChar w:fldCharType="end"/>
      </w:r>
      <w:bookmarkEnd w:id="39"/>
      <w:bookmarkEnd w:id="40"/>
      <w:r w:rsidR="002203CC">
        <w:t xml:space="preserve">. </w:t>
      </w:r>
      <w:r w:rsidR="002203CC" w:rsidRPr="002203CC">
        <w:t>Vermont Primary Heating Fuel Mix, Residential Buildings</w:t>
      </w:r>
      <w:r w:rsidR="001B0413">
        <w:rPr>
          <w:rStyle w:val="FootnoteReference"/>
          <w:rFonts w:asciiTheme="minorHAnsi" w:hAnsiTheme="minorHAnsi" w:cs="Calibri"/>
        </w:rPr>
        <w:footnoteReference w:id="18"/>
      </w:r>
    </w:p>
    <w:tbl>
      <w:tblPr>
        <w:tblStyle w:val="TableGrid"/>
        <w:tblW w:w="0" w:type="auto"/>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Look w:val="04A0" w:firstRow="1" w:lastRow="0" w:firstColumn="1" w:lastColumn="0" w:noHBand="0" w:noVBand="1"/>
      </w:tblPr>
      <w:tblGrid>
        <w:gridCol w:w="1429"/>
        <w:gridCol w:w="1352"/>
        <w:gridCol w:w="1352"/>
        <w:gridCol w:w="1352"/>
      </w:tblGrid>
      <w:tr w:rsidR="00944151" w14:paraId="71812F02" w14:textId="77777777" w:rsidTr="008F724F">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429" w:type="dxa"/>
            <w:vMerge w:val="restart"/>
            <w:tcBorders>
              <w:top w:val="none" w:sz="0" w:space="0" w:color="auto"/>
              <w:left w:val="none" w:sz="0" w:space="0" w:color="auto"/>
              <w:bottom w:val="none" w:sz="0" w:space="0" w:color="auto"/>
              <w:right w:val="none" w:sz="0" w:space="0" w:color="auto"/>
            </w:tcBorders>
          </w:tcPr>
          <w:p w14:paraId="2F9EF43B" w14:textId="1DD1F86D" w:rsidR="00944151" w:rsidRPr="00944151" w:rsidRDefault="002203CC" w:rsidP="00941CD9">
            <w:pPr>
              <w:jc w:val="left"/>
              <w:rPr>
                <w:rFonts w:asciiTheme="majorHAnsi" w:hAnsiTheme="majorHAnsi"/>
                <w:color w:val="FFFFFF" w:themeColor="background1"/>
              </w:rPr>
            </w:pPr>
            <w:r>
              <w:rPr>
                <w:rFonts w:asciiTheme="majorHAnsi" w:hAnsiTheme="majorHAnsi"/>
                <w:color w:val="FFFFFF" w:themeColor="background1"/>
              </w:rPr>
              <w:t>Heating Fuel</w:t>
            </w:r>
          </w:p>
        </w:tc>
        <w:tc>
          <w:tcPr>
            <w:tcW w:w="4056" w:type="dxa"/>
            <w:gridSpan w:val="3"/>
            <w:tcBorders>
              <w:bottom w:val="none" w:sz="0" w:space="0" w:color="auto"/>
            </w:tcBorders>
          </w:tcPr>
          <w:p w14:paraId="000C435E" w14:textId="77777777" w:rsidR="00944151" w:rsidRPr="00944151" w:rsidRDefault="00944151" w:rsidP="002203CC">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themeColor="background1"/>
              </w:rPr>
            </w:pPr>
            <w:r>
              <w:rPr>
                <w:rFonts w:asciiTheme="majorHAnsi" w:hAnsiTheme="majorHAnsi"/>
                <w:color w:val="FFFFFF" w:themeColor="background1"/>
              </w:rPr>
              <w:t>Building Type</w:t>
            </w:r>
          </w:p>
        </w:tc>
      </w:tr>
      <w:tr w:rsidR="002203CC" w14:paraId="3E287C7A" w14:textId="77777777" w:rsidTr="008F724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0" w:type="dxa"/>
            <w:vMerge/>
            <w:tcBorders>
              <w:top w:val="none" w:sz="0" w:space="0" w:color="auto"/>
              <w:left w:val="none" w:sz="0" w:space="0" w:color="auto"/>
              <w:bottom w:val="none" w:sz="0" w:space="0" w:color="auto"/>
              <w:right w:val="none" w:sz="0" w:space="0" w:color="auto"/>
            </w:tcBorders>
          </w:tcPr>
          <w:p w14:paraId="03F552F9" w14:textId="77777777" w:rsidR="00944151" w:rsidRPr="00944151" w:rsidRDefault="00944151" w:rsidP="002203CC">
            <w:pPr>
              <w:rPr>
                <w:rFonts w:asciiTheme="majorHAnsi" w:hAnsiTheme="majorHAnsi"/>
                <w:color w:val="FFFFFF" w:themeColor="background1"/>
              </w:rPr>
            </w:pPr>
          </w:p>
        </w:tc>
        <w:tc>
          <w:tcPr>
            <w:tcW w:w="1352" w:type="dxa"/>
            <w:tcBorders>
              <w:top w:val="none" w:sz="0" w:space="0" w:color="auto"/>
              <w:left w:val="none" w:sz="0" w:space="0" w:color="auto"/>
              <w:bottom w:val="none" w:sz="0" w:space="0" w:color="auto"/>
              <w:right w:val="none" w:sz="0" w:space="0" w:color="auto"/>
            </w:tcBorders>
            <w:shd w:val="clear" w:color="auto" w:fill="053572" w:themeFill="text2"/>
          </w:tcPr>
          <w:p w14:paraId="757CC34A" w14:textId="77777777" w:rsidR="00944151" w:rsidRPr="00944151" w:rsidRDefault="00944151" w:rsidP="00941CD9">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olor w:val="FFFFFF" w:themeColor="background1"/>
              </w:rPr>
            </w:pPr>
            <w:r w:rsidRPr="00944151">
              <w:rPr>
                <w:rFonts w:asciiTheme="majorHAnsi" w:hAnsiTheme="majorHAnsi"/>
                <w:color w:val="FFFFFF" w:themeColor="background1"/>
              </w:rPr>
              <w:t>Single Family</w:t>
            </w:r>
          </w:p>
        </w:tc>
        <w:tc>
          <w:tcPr>
            <w:tcW w:w="1352" w:type="dxa"/>
            <w:tcBorders>
              <w:top w:val="none" w:sz="0" w:space="0" w:color="auto"/>
              <w:left w:val="none" w:sz="0" w:space="0" w:color="auto"/>
              <w:bottom w:val="none" w:sz="0" w:space="0" w:color="auto"/>
              <w:right w:val="none" w:sz="0" w:space="0" w:color="auto"/>
            </w:tcBorders>
            <w:shd w:val="clear" w:color="auto" w:fill="053572" w:themeFill="text2"/>
          </w:tcPr>
          <w:p w14:paraId="4E5CEDDC" w14:textId="77777777" w:rsidR="00944151" w:rsidRPr="00944151" w:rsidRDefault="00944151" w:rsidP="00941CD9">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olor w:val="FFFFFF" w:themeColor="background1"/>
              </w:rPr>
            </w:pPr>
            <w:r w:rsidRPr="00944151">
              <w:rPr>
                <w:rFonts w:asciiTheme="majorHAnsi" w:hAnsiTheme="majorHAnsi"/>
                <w:color w:val="FFFFFF" w:themeColor="background1"/>
              </w:rPr>
              <w:t>Multifamily</w:t>
            </w:r>
          </w:p>
        </w:tc>
        <w:tc>
          <w:tcPr>
            <w:tcW w:w="1352" w:type="dxa"/>
            <w:tcBorders>
              <w:top w:val="none" w:sz="0" w:space="0" w:color="auto"/>
              <w:left w:val="none" w:sz="0" w:space="0" w:color="auto"/>
              <w:bottom w:val="none" w:sz="0" w:space="0" w:color="auto"/>
              <w:right w:val="none" w:sz="0" w:space="0" w:color="auto"/>
            </w:tcBorders>
            <w:shd w:val="clear" w:color="auto" w:fill="053572" w:themeFill="text2"/>
          </w:tcPr>
          <w:p w14:paraId="5E1DF40D" w14:textId="77777777" w:rsidR="00944151" w:rsidRPr="00944151" w:rsidRDefault="00944151" w:rsidP="00941CD9">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olor w:val="FFFFFF" w:themeColor="background1"/>
              </w:rPr>
            </w:pPr>
            <w:r w:rsidRPr="00944151">
              <w:rPr>
                <w:rFonts w:asciiTheme="majorHAnsi" w:hAnsiTheme="majorHAnsi"/>
                <w:color w:val="FFFFFF" w:themeColor="background1"/>
              </w:rPr>
              <w:t>Unknown</w:t>
            </w:r>
          </w:p>
        </w:tc>
      </w:tr>
      <w:tr w:rsidR="002203CC" w14:paraId="24D97871" w14:textId="77777777" w:rsidTr="008F724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tcPr>
          <w:p w14:paraId="323C216C" w14:textId="2990230D" w:rsidR="00944151" w:rsidRDefault="00944151" w:rsidP="002203CC">
            <w:r>
              <w:t xml:space="preserve">Fuel </w:t>
            </w:r>
            <w:r w:rsidR="00CE5F91">
              <w:t xml:space="preserve">oil </w:t>
            </w:r>
            <w:r>
              <w:t>#2</w:t>
            </w:r>
          </w:p>
        </w:tc>
        <w:tc>
          <w:tcPr>
            <w:tcW w:w="1352" w:type="dxa"/>
            <w:tcBorders>
              <w:top w:val="none" w:sz="0" w:space="0" w:color="auto"/>
              <w:left w:val="none" w:sz="0" w:space="0" w:color="auto"/>
              <w:bottom w:val="none" w:sz="0" w:space="0" w:color="auto"/>
              <w:right w:val="none" w:sz="0" w:space="0" w:color="auto"/>
            </w:tcBorders>
          </w:tcPr>
          <w:p w14:paraId="47DB028D" w14:textId="581AAE8D" w:rsidR="00944151" w:rsidRDefault="00944151" w:rsidP="00941CD9">
            <w:pPr>
              <w:jc w:val="right"/>
              <w:cnfStyle w:val="000000010000" w:firstRow="0" w:lastRow="0" w:firstColumn="0" w:lastColumn="0" w:oddVBand="0" w:evenVBand="0" w:oddHBand="0" w:evenHBand="1" w:firstRowFirstColumn="0" w:firstRowLastColumn="0" w:lastRowFirstColumn="0" w:lastRowLastColumn="0"/>
            </w:pPr>
            <w:r w:rsidRPr="00CF1C03">
              <w:t>45%</w:t>
            </w:r>
          </w:p>
        </w:tc>
        <w:tc>
          <w:tcPr>
            <w:tcW w:w="1352" w:type="dxa"/>
            <w:tcBorders>
              <w:top w:val="none" w:sz="0" w:space="0" w:color="auto"/>
              <w:left w:val="none" w:sz="0" w:space="0" w:color="auto"/>
              <w:bottom w:val="none" w:sz="0" w:space="0" w:color="auto"/>
              <w:right w:val="none" w:sz="0" w:space="0" w:color="auto"/>
            </w:tcBorders>
          </w:tcPr>
          <w:p w14:paraId="37FDBEA7" w14:textId="12A73FC0" w:rsidR="00944151" w:rsidRDefault="00944151" w:rsidP="00941CD9">
            <w:pPr>
              <w:jc w:val="right"/>
              <w:cnfStyle w:val="000000010000" w:firstRow="0" w:lastRow="0" w:firstColumn="0" w:lastColumn="0" w:oddVBand="0" w:evenVBand="0" w:oddHBand="0" w:evenHBand="1" w:firstRowFirstColumn="0" w:firstRowLastColumn="0" w:lastRowFirstColumn="0" w:lastRowLastColumn="0"/>
            </w:pPr>
            <w:r w:rsidRPr="00CF1C03">
              <w:t>5%</w:t>
            </w:r>
          </w:p>
        </w:tc>
        <w:tc>
          <w:tcPr>
            <w:tcW w:w="1352" w:type="dxa"/>
            <w:tcBorders>
              <w:top w:val="none" w:sz="0" w:space="0" w:color="auto"/>
              <w:left w:val="none" w:sz="0" w:space="0" w:color="auto"/>
              <w:bottom w:val="none" w:sz="0" w:space="0" w:color="auto"/>
              <w:right w:val="none" w:sz="0" w:space="0" w:color="auto"/>
            </w:tcBorders>
          </w:tcPr>
          <w:p w14:paraId="1C87E7EF" w14:textId="35456B23" w:rsidR="00944151" w:rsidRDefault="00944151" w:rsidP="00941CD9">
            <w:pPr>
              <w:jc w:val="right"/>
              <w:cnfStyle w:val="000000010000" w:firstRow="0" w:lastRow="0" w:firstColumn="0" w:lastColumn="0" w:oddVBand="0" w:evenVBand="0" w:oddHBand="0" w:evenHBand="1" w:firstRowFirstColumn="0" w:firstRowLastColumn="0" w:lastRowFirstColumn="0" w:lastRowLastColumn="0"/>
            </w:pPr>
            <w:r w:rsidRPr="00CF1C03">
              <w:t>41%</w:t>
            </w:r>
          </w:p>
        </w:tc>
      </w:tr>
      <w:tr w:rsidR="002203CC" w14:paraId="5C766DE0" w14:textId="77777777" w:rsidTr="008F72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tcPr>
          <w:p w14:paraId="45EE5EDE" w14:textId="77777777" w:rsidR="00944151" w:rsidRDefault="00944151" w:rsidP="002203CC">
            <w:r>
              <w:t>Propane</w:t>
            </w:r>
          </w:p>
        </w:tc>
        <w:tc>
          <w:tcPr>
            <w:tcW w:w="1352" w:type="dxa"/>
            <w:tcBorders>
              <w:top w:val="none" w:sz="0" w:space="0" w:color="auto"/>
              <w:left w:val="none" w:sz="0" w:space="0" w:color="auto"/>
              <w:bottom w:val="none" w:sz="0" w:space="0" w:color="auto"/>
              <w:right w:val="none" w:sz="0" w:space="0" w:color="auto"/>
            </w:tcBorders>
          </w:tcPr>
          <w:p w14:paraId="64BA3FFD" w14:textId="432BF502" w:rsidR="00944151" w:rsidRDefault="00944151" w:rsidP="00941CD9">
            <w:pPr>
              <w:jc w:val="right"/>
              <w:cnfStyle w:val="000000100000" w:firstRow="0" w:lastRow="0" w:firstColumn="0" w:lastColumn="0" w:oddVBand="0" w:evenVBand="0" w:oddHBand="1" w:evenHBand="0" w:firstRowFirstColumn="0" w:firstRowLastColumn="0" w:lastRowFirstColumn="0" w:lastRowLastColumn="0"/>
            </w:pPr>
            <w:r w:rsidRPr="00CF1C03">
              <w:t>17%</w:t>
            </w:r>
          </w:p>
        </w:tc>
        <w:tc>
          <w:tcPr>
            <w:tcW w:w="1352" w:type="dxa"/>
            <w:tcBorders>
              <w:top w:val="none" w:sz="0" w:space="0" w:color="auto"/>
              <w:left w:val="none" w:sz="0" w:space="0" w:color="auto"/>
              <w:bottom w:val="none" w:sz="0" w:space="0" w:color="auto"/>
              <w:right w:val="none" w:sz="0" w:space="0" w:color="auto"/>
            </w:tcBorders>
          </w:tcPr>
          <w:p w14:paraId="5835C8D7" w14:textId="086318A9" w:rsidR="00944151" w:rsidRDefault="00944151" w:rsidP="00941CD9">
            <w:pPr>
              <w:jc w:val="right"/>
              <w:cnfStyle w:val="000000100000" w:firstRow="0" w:lastRow="0" w:firstColumn="0" w:lastColumn="0" w:oddVBand="0" w:evenVBand="0" w:oddHBand="1" w:evenHBand="0" w:firstRowFirstColumn="0" w:firstRowLastColumn="0" w:lastRowFirstColumn="0" w:lastRowLastColumn="0"/>
            </w:pPr>
            <w:r w:rsidRPr="00CF1C03">
              <w:t>5%</w:t>
            </w:r>
          </w:p>
        </w:tc>
        <w:tc>
          <w:tcPr>
            <w:tcW w:w="1352" w:type="dxa"/>
            <w:tcBorders>
              <w:top w:val="none" w:sz="0" w:space="0" w:color="auto"/>
              <w:left w:val="none" w:sz="0" w:space="0" w:color="auto"/>
              <w:bottom w:val="none" w:sz="0" w:space="0" w:color="auto"/>
              <w:right w:val="none" w:sz="0" w:space="0" w:color="auto"/>
            </w:tcBorders>
          </w:tcPr>
          <w:p w14:paraId="2266CA95" w14:textId="5CB5B115" w:rsidR="00944151" w:rsidRDefault="00944151" w:rsidP="00941CD9">
            <w:pPr>
              <w:jc w:val="right"/>
              <w:cnfStyle w:val="000000100000" w:firstRow="0" w:lastRow="0" w:firstColumn="0" w:lastColumn="0" w:oddVBand="0" w:evenVBand="0" w:oddHBand="1" w:evenHBand="0" w:firstRowFirstColumn="0" w:firstRowLastColumn="0" w:lastRowFirstColumn="0" w:lastRowLastColumn="0"/>
            </w:pPr>
            <w:r w:rsidRPr="00CF1C03">
              <w:t>16%</w:t>
            </w:r>
          </w:p>
        </w:tc>
      </w:tr>
      <w:tr w:rsidR="002203CC" w14:paraId="2DA8732B" w14:textId="77777777" w:rsidTr="008F724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tcPr>
          <w:p w14:paraId="4662099C" w14:textId="0FB8002C" w:rsidR="00944151" w:rsidRDefault="00944151" w:rsidP="002203CC">
            <w:r>
              <w:t xml:space="preserve">Natural </w:t>
            </w:r>
            <w:r w:rsidR="00CE5F91">
              <w:t>gas</w:t>
            </w:r>
          </w:p>
        </w:tc>
        <w:tc>
          <w:tcPr>
            <w:tcW w:w="1352" w:type="dxa"/>
            <w:tcBorders>
              <w:top w:val="none" w:sz="0" w:space="0" w:color="auto"/>
              <w:left w:val="none" w:sz="0" w:space="0" w:color="auto"/>
              <w:bottom w:val="none" w:sz="0" w:space="0" w:color="auto"/>
              <w:right w:val="none" w:sz="0" w:space="0" w:color="auto"/>
            </w:tcBorders>
          </w:tcPr>
          <w:p w14:paraId="3A177A57" w14:textId="41575A7B" w:rsidR="00944151" w:rsidRDefault="00944151" w:rsidP="00941CD9">
            <w:pPr>
              <w:jc w:val="right"/>
              <w:cnfStyle w:val="000000010000" w:firstRow="0" w:lastRow="0" w:firstColumn="0" w:lastColumn="0" w:oddVBand="0" w:evenVBand="0" w:oddHBand="0" w:evenHBand="1" w:firstRowFirstColumn="0" w:firstRowLastColumn="0" w:lastRowFirstColumn="0" w:lastRowLastColumn="0"/>
            </w:pPr>
            <w:r w:rsidRPr="00CF1C03">
              <w:t>23%</w:t>
            </w:r>
          </w:p>
        </w:tc>
        <w:tc>
          <w:tcPr>
            <w:tcW w:w="1352" w:type="dxa"/>
            <w:tcBorders>
              <w:top w:val="none" w:sz="0" w:space="0" w:color="auto"/>
              <w:left w:val="none" w:sz="0" w:space="0" w:color="auto"/>
              <w:bottom w:val="none" w:sz="0" w:space="0" w:color="auto"/>
              <w:right w:val="none" w:sz="0" w:space="0" w:color="auto"/>
            </w:tcBorders>
          </w:tcPr>
          <w:p w14:paraId="31BD3F30" w14:textId="4F36F115" w:rsidR="00944151" w:rsidRDefault="00944151" w:rsidP="00941CD9">
            <w:pPr>
              <w:jc w:val="right"/>
              <w:cnfStyle w:val="000000010000" w:firstRow="0" w:lastRow="0" w:firstColumn="0" w:lastColumn="0" w:oddVBand="0" w:evenVBand="0" w:oddHBand="0" w:evenHBand="1" w:firstRowFirstColumn="0" w:firstRowLastColumn="0" w:lastRowFirstColumn="0" w:lastRowLastColumn="0"/>
            </w:pPr>
            <w:r w:rsidRPr="00CF1C03">
              <w:t>66%</w:t>
            </w:r>
          </w:p>
        </w:tc>
        <w:tc>
          <w:tcPr>
            <w:tcW w:w="1352" w:type="dxa"/>
            <w:tcBorders>
              <w:top w:val="none" w:sz="0" w:space="0" w:color="auto"/>
              <w:left w:val="none" w:sz="0" w:space="0" w:color="auto"/>
              <w:bottom w:val="none" w:sz="0" w:space="0" w:color="auto"/>
              <w:right w:val="none" w:sz="0" w:space="0" w:color="auto"/>
            </w:tcBorders>
          </w:tcPr>
          <w:p w14:paraId="442DD746" w14:textId="09CB88A6" w:rsidR="00944151" w:rsidRDefault="00944151" w:rsidP="00941CD9">
            <w:pPr>
              <w:jc w:val="right"/>
              <w:cnfStyle w:val="000000010000" w:firstRow="0" w:lastRow="0" w:firstColumn="0" w:lastColumn="0" w:oddVBand="0" w:evenVBand="0" w:oddHBand="0" w:evenHBand="1" w:firstRowFirstColumn="0" w:firstRowLastColumn="0" w:lastRowFirstColumn="0" w:lastRowLastColumn="0"/>
            </w:pPr>
            <w:r w:rsidRPr="00CF1C03">
              <w:t>27%</w:t>
            </w:r>
          </w:p>
        </w:tc>
      </w:tr>
      <w:tr w:rsidR="002203CC" w14:paraId="6AE98DC2" w14:textId="77777777" w:rsidTr="008F72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tcPr>
          <w:p w14:paraId="32571130" w14:textId="77777777" w:rsidR="00944151" w:rsidRDefault="00944151" w:rsidP="002203CC">
            <w:r>
              <w:t>Electricity</w:t>
            </w:r>
          </w:p>
        </w:tc>
        <w:tc>
          <w:tcPr>
            <w:tcW w:w="1352" w:type="dxa"/>
            <w:tcBorders>
              <w:top w:val="none" w:sz="0" w:space="0" w:color="auto"/>
              <w:left w:val="none" w:sz="0" w:space="0" w:color="auto"/>
              <w:bottom w:val="none" w:sz="0" w:space="0" w:color="auto"/>
              <w:right w:val="none" w:sz="0" w:space="0" w:color="auto"/>
            </w:tcBorders>
          </w:tcPr>
          <w:p w14:paraId="513B2CBD" w14:textId="60460FDC" w:rsidR="00944151" w:rsidRDefault="00944151" w:rsidP="00941CD9">
            <w:pPr>
              <w:jc w:val="right"/>
              <w:cnfStyle w:val="000000100000" w:firstRow="0" w:lastRow="0" w:firstColumn="0" w:lastColumn="0" w:oddVBand="0" w:evenVBand="0" w:oddHBand="1" w:evenHBand="0" w:firstRowFirstColumn="0" w:firstRowLastColumn="0" w:lastRowFirstColumn="0" w:lastRowLastColumn="0"/>
            </w:pPr>
            <w:r w:rsidRPr="00CF1C03">
              <w:t>6%</w:t>
            </w:r>
          </w:p>
        </w:tc>
        <w:tc>
          <w:tcPr>
            <w:tcW w:w="1352" w:type="dxa"/>
            <w:tcBorders>
              <w:top w:val="none" w:sz="0" w:space="0" w:color="auto"/>
              <w:left w:val="none" w:sz="0" w:space="0" w:color="auto"/>
              <w:bottom w:val="none" w:sz="0" w:space="0" w:color="auto"/>
              <w:right w:val="none" w:sz="0" w:space="0" w:color="auto"/>
            </w:tcBorders>
          </w:tcPr>
          <w:p w14:paraId="66302161" w14:textId="7ADB56AA" w:rsidR="00944151" w:rsidRDefault="00944151" w:rsidP="00941CD9">
            <w:pPr>
              <w:jc w:val="right"/>
              <w:cnfStyle w:val="000000100000" w:firstRow="0" w:lastRow="0" w:firstColumn="0" w:lastColumn="0" w:oddVBand="0" w:evenVBand="0" w:oddHBand="1" w:evenHBand="0" w:firstRowFirstColumn="0" w:firstRowLastColumn="0" w:lastRowFirstColumn="0" w:lastRowLastColumn="0"/>
            </w:pPr>
            <w:r w:rsidRPr="00CF1C03">
              <w:t>23%</w:t>
            </w:r>
          </w:p>
        </w:tc>
        <w:tc>
          <w:tcPr>
            <w:tcW w:w="1352" w:type="dxa"/>
            <w:tcBorders>
              <w:top w:val="none" w:sz="0" w:space="0" w:color="auto"/>
              <w:left w:val="none" w:sz="0" w:space="0" w:color="auto"/>
              <w:bottom w:val="none" w:sz="0" w:space="0" w:color="auto"/>
              <w:right w:val="none" w:sz="0" w:space="0" w:color="auto"/>
            </w:tcBorders>
          </w:tcPr>
          <w:p w14:paraId="5F7D7475" w14:textId="4B98BF9A" w:rsidR="00944151" w:rsidRDefault="00944151" w:rsidP="00941CD9">
            <w:pPr>
              <w:jc w:val="right"/>
              <w:cnfStyle w:val="000000100000" w:firstRow="0" w:lastRow="0" w:firstColumn="0" w:lastColumn="0" w:oddVBand="0" w:evenVBand="0" w:oddHBand="1" w:evenHBand="0" w:firstRowFirstColumn="0" w:firstRowLastColumn="0" w:lastRowFirstColumn="0" w:lastRowLastColumn="0"/>
            </w:pPr>
            <w:r w:rsidRPr="00CF1C03">
              <w:t>8%</w:t>
            </w:r>
          </w:p>
        </w:tc>
      </w:tr>
      <w:tr w:rsidR="002203CC" w14:paraId="00DE247E" w14:textId="77777777" w:rsidTr="008F724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Borders>
              <w:top w:val="none" w:sz="0" w:space="0" w:color="auto"/>
              <w:left w:val="none" w:sz="0" w:space="0" w:color="auto"/>
              <w:bottom w:val="none" w:sz="0" w:space="0" w:color="auto"/>
              <w:right w:val="none" w:sz="0" w:space="0" w:color="auto"/>
            </w:tcBorders>
          </w:tcPr>
          <w:p w14:paraId="1CF042D7" w14:textId="6F14A976" w:rsidR="00944151" w:rsidRDefault="00944151" w:rsidP="002203CC">
            <w:r>
              <w:t>Wood</w:t>
            </w:r>
          </w:p>
        </w:tc>
        <w:tc>
          <w:tcPr>
            <w:tcW w:w="1352" w:type="dxa"/>
            <w:tcBorders>
              <w:top w:val="none" w:sz="0" w:space="0" w:color="auto"/>
              <w:left w:val="none" w:sz="0" w:space="0" w:color="auto"/>
              <w:bottom w:val="none" w:sz="0" w:space="0" w:color="auto"/>
              <w:right w:val="none" w:sz="0" w:space="0" w:color="auto"/>
            </w:tcBorders>
          </w:tcPr>
          <w:p w14:paraId="4840F338" w14:textId="3DFB5CEC" w:rsidR="00944151" w:rsidRDefault="00944151" w:rsidP="00941CD9">
            <w:pPr>
              <w:jc w:val="right"/>
              <w:cnfStyle w:val="000000010000" w:firstRow="0" w:lastRow="0" w:firstColumn="0" w:lastColumn="0" w:oddVBand="0" w:evenVBand="0" w:oddHBand="0" w:evenHBand="1" w:firstRowFirstColumn="0" w:firstRowLastColumn="0" w:lastRowFirstColumn="0" w:lastRowLastColumn="0"/>
            </w:pPr>
            <w:r w:rsidRPr="00CF1C03">
              <w:t>8%</w:t>
            </w:r>
          </w:p>
        </w:tc>
        <w:tc>
          <w:tcPr>
            <w:tcW w:w="1352" w:type="dxa"/>
            <w:tcBorders>
              <w:top w:val="none" w:sz="0" w:space="0" w:color="auto"/>
              <w:left w:val="none" w:sz="0" w:space="0" w:color="auto"/>
              <w:bottom w:val="none" w:sz="0" w:space="0" w:color="auto"/>
              <w:right w:val="none" w:sz="0" w:space="0" w:color="auto"/>
            </w:tcBorders>
          </w:tcPr>
          <w:p w14:paraId="7EBF7F43" w14:textId="6F28ABBD" w:rsidR="00944151" w:rsidRDefault="00944151" w:rsidP="00941CD9">
            <w:pPr>
              <w:jc w:val="right"/>
              <w:cnfStyle w:val="000000010000" w:firstRow="0" w:lastRow="0" w:firstColumn="0" w:lastColumn="0" w:oddVBand="0" w:evenVBand="0" w:oddHBand="0" w:evenHBand="1" w:firstRowFirstColumn="0" w:firstRowLastColumn="0" w:lastRowFirstColumn="0" w:lastRowLastColumn="0"/>
            </w:pPr>
            <w:r w:rsidRPr="00CF1C03">
              <w:t>1%</w:t>
            </w:r>
          </w:p>
        </w:tc>
        <w:tc>
          <w:tcPr>
            <w:tcW w:w="1352" w:type="dxa"/>
            <w:tcBorders>
              <w:top w:val="none" w:sz="0" w:space="0" w:color="auto"/>
              <w:left w:val="none" w:sz="0" w:space="0" w:color="auto"/>
              <w:bottom w:val="none" w:sz="0" w:space="0" w:color="auto"/>
              <w:right w:val="none" w:sz="0" w:space="0" w:color="auto"/>
            </w:tcBorders>
          </w:tcPr>
          <w:p w14:paraId="138217F7" w14:textId="065161FB" w:rsidR="00944151" w:rsidRDefault="00944151" w:rsidP="00941CD9">
            <w:pPr>
              <w:jc w:val="right"/>
              <w:cnfStyle w:val="000000010000" w:firstRow="0" w:lastRow="0" w:firstColumn="0" w:lastColumn="0" w:oddVBand="0" w:evenVBand="0" w:oddHBand="0" w:evenHBand="1" w:firstRowFirstColumn="0" w:firstRowLastColumn="0" w:lastRowFirstColumn="0" w:lastRowLastColumn="0"/>
            </w:pPr>
            <w:r w:rsidRPr="00CF1C03">
              <w:t>7%</w:t>
            </w:r>
          </w:p>
        </w:tc>
      </w:tr>
    </w:tbl>
    <w:p w14:paraId="34333AF1" w14:textId="50B16636" w:rsidR="00D57932" w:rsidRDefault="00A86DE3" w:rsidP="00F0605F">
      <w:pPr>
        <w:spacing w:before="100" w:beforeAutospacing="1"/>
        <w:ind w:left="1440"/>
      </w:pPr>
      <w:proofErr w:type="spellStart"/>
      <w:r>
        <w:t>CI</w:t>
      </w:r>
      <w:r w:rsidR="00D57932" w:rsidRPr="00AF1550">
        <w:rPr>
          <w:vertAlign w:val="subscript"/>
        </w:rPr>
        <w:t>prop</w:t>
      </w:r>
      <w:proofErr w:type="spellEnd"/>
      <w:r w:rsidR="00D57932" w:rsidRPr="00AF1550">
        <w:t xml:space="preserve"> = </w:t>
      </w:r>
      <w:r w:rsidR="00CE5F91">
        <w:t>Carbon intensity value for w</w:t>
      </w:r>
      <w:r w:rsidR="002B2C69">
        <w:t>ood pellets</w:t>
      </w:r>
      <w:r w:rsidR="00D57932" w:rsidRPr="00AF1550">
        <w:t xml:space="preserve"> </w:t>
      </w:r>
      <w:r w:rsidR="00DD134A">
        <w:t>(</w:t>
      </w:r>
      <w:r w:rsidR="002B2C69">
        <w:t>gCO</w:t>
      </w:r>
      <w:r w:rsidR="002B2C69" w:rsidRPr="0041296A">
        <w:rPr>
          <w:vertAlign w:val="subscript"/>
        </w:rPr>
        <w:t>2</w:t>
      </w:r>
      <w:r w:rsidR="002B2C69" w:rsidRPr="00A45E83">
        <w:t>e</w:t>
      </w:r>
      <w:r w:rsidR="002B2C69">
        <w:t>/MJ</w:t>
      </w:r>
      <w:r w:rsidR="00DD134A">
        <w:t>)</w:t>
      </w:r>
      <w:r w:rsidR="00DD134A" w:rsidRPr="00AF1550">
        <w:t xml:space="preserve">. </w:t>
      </w:r>
      <w:r w:rsidR="002B2C69">
        <w:t xml:space="preserve">Varies by year; see </w:t>
      </w:r>
      <w:r w:rsidR="00257E63">
        <w:t>&lt;EMISSIONS SCHEDULE&gt; in &lt;FRONT MATTER SECTION&gt;</w:t>
      </w:r>
      <w:r w:rsidR="002B2C69">
        <w:t>.</w:t>
      </w:r>
      <w:r w:rsidR="00D57932" w:rsidRPr="00AF1550">
        <w:t xml:space="preserve"> </w:t>
      </w:r>
    </w:p>
    <w:p w14:paraId="2C68FD54" w14:textId="3D5F6237" w:rsidR="00D57932" w:rsidRDefault="00D57932" w:rsidP="00D57932">
      <w:pPr>
        <w:ind w:left="1440"/>
      </w:pPr>
      <w:r w:rsidRPr="007313F2">
        <w:lastRenderedPageBreak/>
        <w:t>Ε</w:t>
      </w:r>
      <w:r>
        <w:t xml:space="preserve"> = The total energy of the </w:t>
      </w:r>
      <w:r w:rsidR="002B2C69">
        <w:t>wood pellets</w:t>
      </w:r>
      <w:r>
        <w:t xml:space="preserve"> delivered to the end-user in megajoules.</w:t>
      </w:r>
    </w:p>
    <w:p w14:paraId="61BC052A" w14:textId="31877538" w:rsidR="006B6FD1" w:rsidRDefault="006B6FD1" w:rsidP="006B6FD1">
      <w:pPr>
        <w:pStyle w:val="Heading5"/>
        <w:ind w:firstLine="720"/>
      </w:pPr>
      <w:r w:rsidRPr="00AF1550">
        <w:t xml:space="preserve">Energy </w:t>
      </w:r>
      <w:r w:rsidR="00941CD9">
        <w:t>I</w:t>
      </w:r>
      <w:r w:rsidR="00941CD9" w:rsidRPr="00AF1550">
        <w:t xml:space="preserve">mpacts </w:t>
      </w:r>
      <w:r w:rsidRPr="00AF1550">
        <w:t>Algorithms</w:t>
      </w:r>
    </w:p>
    <w:p w14:paraId="051EF6ED" w14:textId="77777777" w:rsidR="006B6FD1" w:rsidRDefault="006B6FD1" w:rsidP="006B6FD1">
      <w:r>
        <w:tab/>
        <w:t xml:space="preserve">E = </w:t>
      </w:r>
      <m:oMath>
        <m:d>
          <m:dPr>
            <m:ctrlPr>
              <w:rPr>
                <w:rFonts w:ascii="Cambria Math" w:hAnsi="Cambria Math"/>
                <w:i/>
              </w:rPr>
            </m:ctrlPr>
          </m:dPr>
          <m:e>
            <m:sSub>
              <m:sSubPr>
                <m:ctrlPr>
                  <w:rPr>
                    <w:rFonts w:ascii="Cambria Math" w:hAnsi="Cambria Math"/>
                    <w:i/>
                  </w:rPr>
                </m:ctrlPr>
              </m:sSubPr>
              <m:e>
                <m:r>
                  <w:rPr>
                    <w:rFonts w:ascii="Cambria Math" w:hAnsi="Cambria Math"/>
                  </w:rPr>
                  <m:t>W</m:t>
                </m:r>
              </m:e>
              <m:sub>
                <m:r>
                  <w:rPr>
                    <w:rFonts w:ascii="Cambria Math" w:hAnsi="Cambria Math"/>
                  </w:rPr>
                  <m:t>WP</m:t>
                </m:r>
              </m:sub>
            </m:sSub>
            <m:r>
              <w:rPr>
                <w:rFonts w:ascii="Cambria Math" w:hAnsi="Cambria Math"/>
              </w:rPr>
              <m:t>×</m:t>
            </m:r>
            <m:sSub>
              <m:sSubPr>
                <m:ctrlPr>
                  <w:rPr>
                    <w:rFonts w:ascii="Cambria Math" w:hAnsi="Cambria Math"/>
                    <w:i/>
                  </w:rPr>
                </m:ctrlPr>
              </m:sSubPr>
              <m:e>
                <m:r>
                  <w:rPr>
                    <w:rFonts w:ascii="Cambria Math" w:hAnsi="Cambria Math"/>
                  </w:rPr>
                  <m:t>LHV</m:t>
                </m:r>
              </m:e>
              <m:sub>
                <m:r>
                  <w:rPr>
                    <w:rFonts w:ascii="Cambria Math" w:hAnsi="Cambria Math"/>
                  </w:rPr>
                  <m:t>WP</m:t>
                </m:r>
              </m:sub>
            </m:sSub>
          </m:e>
        </m:d>
      </m:oMath>
    </w:p>
    <w:p w14:paraId="0FF38D56" w14:textId="05A01C5F" w:rsidR="006B6FD1" w:rsidRDefault="006B6FD1" w:rsidP="006B6FD1">
      <w:pPr>
        <w:rPr>
          <w:b/>
          <w:bCs/>
        </w:rPr>
      </w:pPr>
      <w:r w:rsidRPr="00D035ED">
        <w:rPr>
          <w:b/>
          <w:bCs/>
        </w:rPr>
        <w:tab/>
        <w:t xml:space="preserve">Input </w:t>
      </w:r>
      <w:r>
        <w:rPr>
          <w:b/>
          <w:bCs/>
        </w:rPr>
        <w:t>V</w:t>
      </w:r>
      <w:r w:rsidRPr="00D035ED">
        <w:rPr>
          <w:b/>
          <w:bCs/>
        </w:rPr>
        <w:t xml:space="preserve">ariable </w:t>
      </w:r>
      <w:r>
        <w:rPr>
          <w:b/>
          <w:bCs/>
        </w:rPr>
        <w:t>D</w:t>
      </w:r>
      <w:r w:rsidRPr="00D035ED">
        <w:rPr>
          <w:b/>
          <w:bCs/>
        </w:rPr>
        <w:t>efinitions</w:t>
      </w:r>
    </w:p>
    <w:p w14:paraId="0D81C84E" w14:textId="76B2B7FA" w:rsidR="006B6FD1" w:rsidRDefault="006B6FD1" w:rsidP="006B6FD1">
      <w:pPr>
        <w:ind w:left="1440"/>
      </w:pPr>
      <w:r>
        <w:t>W</w:t>
      </w:r>
      <w:r>
        <w:rPr>
          <w:vertAlign w:val="subscript"/>
        </w:rPr>
        <w:t>WP</w:t>
      </w:r>
      <w:r>
        <w:t xml:space="preserve"> = The total weight of wood pellet fuel that is delivered to the end-user in short tons. </w:t>
      </w:r>
    </w:p>
    <w:p w14:paraId="46EE0452" w14:textId="4FC171B8" w:rsidR="006B6FD1" w:rsidRDefault="006B6FD1" w:rsidP="006B6FD1">
      <w:pPr>
        <w:ind w:left="1440"/>
      </w:pPr>
      <w:r>
        <w:t>LHV</w:t>
      </w:r>
      <w:r>
        <w:rPr>
          <w:vertAlign w:val="subscript"/>
        </w:rPr>
        <w:t>WP</w:t>
      </w:r>
      <w:r>
        <w:t xml:space="preserve"> = Lower Heating Value of wood pellet fuel in units of MJ/short ton, 16,867.81 MJ/short </w:t>
      </w:r>
      <w:r w:rsidR="00D57932">
        <w:t>ton.</w:t>
      </w:r>
      <w:r w:rsidR="00D57932">
        <w:rPr>
          <w:rStyle w:val="FootnoteReference"/>
        </w:rPr>
        <w:footnoteReference w:id="19"/>
      </w:r>
    </w:p>
    <w:p w14:paraId="3428892B" w14:textId="77777777" w:rsidR="006B6FD1" w:rsidRDefault="006B6FD1" w:rsidP="006B6FD1">
      <w:pPr>
        <w:ind w:firstLine="720"/>
        <w:rPr>
          <w:b/>
          <w:bCs/>
        </w:rPr>
      </w:pPr>
      <w:r w:rsidRPr="003643D2">
        <w:rPr>
          <w:b/>
          <w:bCs/>
        </w:rPr>
        <w:t>Measure Life</w:t>
      </w:r>
    </w:p>
    <w:p w14:paraId="12230620" w14:textId="7001CAF3" w:rsidR="006B6FD1" w:rsidRDefault="00CE5F91" w:rsidP="006B6FD1">
      <w:pPr>
        <w:ind w:left="1440"/>
      </w:pPr>
      <w:r>
        <w:t>Wood pellets</w:t>
      </w:r>
      <w:r w:rsidR="006B6FD1">
        <w:t xml:space="preserve"> are not subject to a measure life,</w:t>
      </w:r>
      <w:r>
        <w:t xml:space="preserve"> as the measure characterization is based on the weight of wood pellets that are delivered to an end-user and used in the thermal sector.</w:t>
      </w:r>
    </w:p>
    <w:p w14:paraId="64AEA262" w14:textId="77777777" w:rsidR="006B6FD1" w:rsidRDefault="006B6FD1" w:rsidP="006B6FD1">
      <w:pPr>
        <w:ind w:firstLine="720"/>
        <w:rPr>
          <w:b/>
          <w:bCs/>
        </w:rPr>
      </w:pPr>
      <w:r w:rsidRPr="003643D2">
        <w:rPr>
          <w:b/>
          <w:bCs/>
        </w:rPr>
        <w:t>Measure Cost</w:t>
      </w:r>
    </w:p>
    <w:p w14:paraId="1A98829D" w14:textId="209171F3" w:rsidR="006B6FD1" w:rsidRPr="00C9187F" w:rsidRDefault="006B6FD1" w:rsidP="006B6FD1">
      <w:pPr>
        <w:ind w:left="1440"/>
      </w:pPr>
      <w:r>
        <w:t xml:space="preserve">The incremental cost of </w:t>
      </w:r>
      <w:r w:rsidR="00CE5F91">
        <w:t>wood pellets as compared to the</w:t>
      </w:r>
      <w:r>
        <w:t xml:space="preserve"> baseline fuel. Use actual costs.</w:t>
      </w:r>
    </w:p>
    <w:p w14:paraId="67D781EC" w14:textId="77777777" w:rsidR="006B6FD1" w:rsidRDefault="006B6FD1" w:rsidP="006B6FD1">
      <w:pPr>
        <w:pStyle w:val="Heading4"/>
      </w:pPr>
      <w:r>
        <w:t>Program Data Tracking Recommendations</w:t>
      </w:r>
    </w:p>
    <w:p w14:paraId="51A0201D" w14:textId="77777777" w:rsidR="006B6FD1" w:rsidRDefault="006B6FD1" w:rsidP="00A16868">
      <w:r>
        <w:t>The key input variables for this measure are the following:</w:t>
      </w:r>
    </w:p>
    <w:p w14:paraId="06FCC929" w14:textId="77777777" w:rsidR="006B6FD1" w:rsidRDefault="006B6FD1" w:rsidP="00A16868">
      <w:pPr>
        <w:pStyle w:val="ListBullet"/>
      </w:pPr>
      <w:r>
        <w:t>Weight of delivered wood pellets to the end user</w:t>
      </w:r>
    </w:p>
    <w:p w14:paraId="2ABDEE75" w14:textId="77777777" w:rsidR="006B6FD1" w:rsidRDefault="006B6FD1" w:rsidP="00A16868">
      <w:pPr>
        <w:pStyle w:val="ListBullet"/>
      </w:pPr>
      <w:r>
        <w:t>The fuel that is displaced by the wood pellets</w:t>
      </w:r>
    </w:p>
    <w:p w14:paraId="5371B9B2" w14:textId="77777777" w:rsidR="006B6FD1" w:rsidRDefault="006B6FD1" w:rsidP="006B6FD1">
      <w:pPr>
        <w:pStyle w:val="Heading4"/>
      </w:pPr>
      <w:r>
        <w:t xml:space="preserve">Energy Codes and </w:t>
      </w:r>
      <w:r w:rsidRPr="00C36178">
        <w:t>Standards</w:t>
      </w:r>
    </w:p>
    <w:p w14:paraId="41353ACC" w14:textId="3EED0CA7" w:rsidR="006B6FD1" w:rsidRPr="006B6FD1" w:rsidRDefault="002B2C69" w:rsidP="006B6FD1">
      <w:r>
        <w:t>None</w:t>
      </w:r>
    </w:p>
    <w:p w14:paraId="04FF7FE8" w14:textId="7BFF751D" w:rsidR="006B6FD1" w:rsidRPr="006B6FD1" w:rsidRDefault="00EC2EBA" w:rsidP="00DD134A">
      <w:pPr>
        <w:pStyle w:val="Heading3"/>
      </w:pPr>
      <w:r>
        <w:t>Firewood</w:t>
      </w:r>
    </w:p>
    <w:p w14:paraId="2134A634" w14:textId="206E9CB3" w:rsidR="002203CC" w:rsidRPr="00FC7A76" w:rsidRDefault="002203CC" w:rsidP="00A16868">
      <w:pPr>
        <w:keepNext/>
        <w:keepLines/>
        <w:spacing w:after="0"/>
        <w:ind w:left="1080"/>
      </w:pPr>
      <w:r w:rsidRPr="00394B33">
        <w:rPr>
          <w:b/>
          <w:bCs/>
        </w:rPr>
        <w:t xml:space="preserve">CHS Measure ID: </w:t>
      </w:r>
      <w:r w:rsidR="005D4F93">
        <w:t>RES</w:t>
      </w:r>
      <w:r>
        <w:t>_FUEL_</w:t>
      </w:r>
      <w:r w:rsidR="00BA2B73">
        <w:t>CW</w:t>
      </w:r>
    </w:p>
    <w:p w14:paraId="7BD8D14F" w14:textId="45F2ED5D" w:rsidR="002203CC" w:rsidRDefault="002203CC" w:rsidP="00A16868">
      <w:pPr>
        <w:keepNext/>
        <w:keepLines/>
        <w:spacing w:after="0"/>
        <w:ind w:left="1080"/>
        <w:rPr>
          <w:b/>
          <w:bCs/>
        </w:rPr>
      </w:pPr>
      <w:r>
        <w:rPr>
          <w:b/>
          <w:bCs/>
        </w:rPr>
        <w:t xml:space="preserve">Market Sector: </w:t>
      </w:r>
      <w:r w:rsidR="005D4F93">
        <w:t>Residential</w:t>
      </w:r>
    </w:p>
    <w:p w14:paraId="47E2BB49" w14:textId="77777777" w:rsidR="002203CC" w:rsidRPr="0016490D" w:rsidRDefault="002203CC" w:rsidP="00A16868">
      <w:pPr>
        <w:keepNext/>
        <w:keepLines/>
        <w:spacing w:after="0"/>
        <w:ind w:left="1080"/>
      </w:pPr>
      <w:r>
        <w:rPr>
          <w:b/>
          <w:bCs/>
        </w:rPr>
        <w:t xml:space="preserve">End Use: </w:t>
      </w:r>
      <w:r w:rsidRPr="00BE2E62">
        <w:t>Alternative Fuels</w:t>
      </w:r>
      <w:r>
        <w:t xml:space="preserve"> </w:t>
      </w:r>
    </w:p>
    <w:p w14:paraId="6037B576" w14:textId="04445E74" w:rsidR="002203CC" w:rsidRPr="003F16E4" w:rsidRDefault="002203CC" w:rsidP="00A16868">
      <w:pPr>
        <w:keepNext/>
        <w:keepLines/>
        <w:spacing w:after="0"/>
        <w:ind w:left="1080"/>
      </w:pPr>
      <w:r>
        <w:rPr>
          <w:b/>
          <w:bCs/>
        </w:rPr>
        <w:t xml:space="preserve">Applicable Building Types: </w:t>
      </w:r>
      <w:r w:rsidR="005D4F93">
        <w:t>Single Family, Multifamily</w:t>
      </w:r>
      <w:r w:rsidR="005D4F93" w:rsidRPr="0043603C" w:rsidDel="005D4F93">
        <w:t xml:space="preserve"> </w:t>
      </w:r>
    </w:p>
    <w:p w14:paraId="543956D1" w14:textId="77777777" w:rsidR="002203CC" w:rsidRDefault="002203CC" w:rsidP="00A16868">
      <w:pPr>
        <w:keepNext/>
        <w:keepLines/>
        <w:spacing w:after="0"/>
        <w:ind w:left="360" w:firstLine="720"/>
      </w:pPr>
      <w:r>
        <w:rPr>
          <w:b/>
          <w:bCs/>
        </w:rPr>
        <w:t xml:space="preserve">Decarbonization Pathways: </w:t>
      </w:r>
      <w:r w:rsidRPr="00BE2E62">
        <w:t>Alternative Fuels</w:t>
      </w:r>
    </w:p>
    <w:p w14:paraId="36C47FCB" w14:textId="017A46CA" w:rsidR="002203CC" w:rsidRPr="00963504" w:rsidRDefault="002203CC" w:rsidP="002203CC">
      <w:pPr>
        <w:spacing w:after="0"/>
        <w:ind w:left="1080"/>
      </w:pPr>
      <w:r>
        <w:rPr>
          <w:b/>
          <w:bCs/>
        </w:rPr>
        <w:t xml:space="preserve">Applicable Feedstocks: </w:t>
      </w:r>
      <w:r w:rsidR="005D4F93">
        <w:t>L</w:t>
      </w:r>
      <w:r w:rsidRPr="0023477C">
        <w:t>umber wood</w:t>
      </w:r>
    </w:p>
    <w:p w14:paraId="2B676FDB" w14:textId="77777777" w:rsidR="002203CC" w:rsidRDefault="002203CC" w:rsidP="00F0605F">
      <w:pPr>
        <w:pStyle w:val="Heading4"/>
        <w:keepNext/>
        <w:keepLines/>
      </w:pPr>
      <w:r>
        <w:lastRenderedPageBreak/>
        <w:t>Measure Description</w:t>
      </w:r>
    </w:p>
    <w:p w14:paraId="09670DE2" w14:textId="3005C208" w:rsidR="00BA2B73" w:rsidRDefault="007C41F0" w:rsidP="00BA2B73">
      <w:pPr>
        <w:ind w:left="720"/>
      </w:pPr>
      <w:r>
        <w:t xml:space="preserve">This measure involves the replacement of </w:t>
      </w:r>
      <w:r w:rsidR="00954C03">
        <w:t xml:space="preserve">natural gas, </w:t>
      </w:r>
      <w:r>
        <w:t>propane</w:t>
      </w:r>
      <w:r w:rsidR="00954C03">
        <w:t>,</w:t>
      </w:r>
      <w:r>
        <w:t xml:space="preserve"> or fuel oil #2 with </w:t>
      </w:r>
      <w:r w:rsidR="00BA2B73">
        <w:t>commercially produced firewoo</w:t>
      </w:r>
      <w:r>
        <w:t xml:space="preserve">d in the </w:t>
      </w:r>
      <w:r w:rsidR="00BA2B73">
        <w:t>residential</w:t>
      </w:r>
      <w:r>
        <w:t xml:space="preserve"> thermal sector. </w:t>
      </w:r>
      <w:r w:rsidR="00BA2B73">
        <w:t>Firewood cannot be directly substituted for gaseous or liquid fuels; this measure assumes that the end</w:t>
      </w:r>
      <w:r w:rsidR="00DD134A">
        <w:t>-</w:t>
      </w:r>
      <w:r w:rsidR="00BA2B73">
        <w:t xml:space="preserve">user either </w:t>
      </w:r>
      <w:proofErr w:type="gramStart"/>
      <w:r w:rsidR="00BA2B73">
        <w:t>has the ability to</w:t>
      </w:r>
      <w:proofErr w:type="gramEnd"/>
      <w:r w:rsidR="00BA2B73">
        <w:t xml:space="preserve"> substitute fuels at will (e.g. multiple thermal heating systems) or has made capital investments to replace thermal equipment that uses fossil fuels with thermal equipment that uses firewood.</w:t>
      </w:r>
    </w:p>
    <w:p w14:paraId="3A3AE79F" w14:textId="2EF0F671" w:rsidR="002203CC" w:rsidRDefault="007C41F0" w:rsidP="007C41F0">
      <w:pPr>
        <w:ind w:left="720"/>
      </w:pPr>
      <w:r>
        <w:t xml:space="preserve">Greenhouse gas reductions associated with this measure are derived from the difference in </w:t>
      </w:r>
      <w:r w:rsidR="00BA2B73">
        <w:t>carbon intensity values</w:t>
      </w:r>
      <w:r>
        <w:t xml:space="preserve"> (gCO</w:t>
      </w:r>
      <w:r w:rsidRPr="00165D28">
        <w:rPr>
          <w:vertAlign w:val="subscript"/>
        </w:rPr>
        <w:t>2</w:t>
      </w:r>
      <w:r>
        <w:t xml:space="preserve">e/MJ) between the baseline heating fuel and </w:t>
      </w:r>
      <w:r w:rsidR="00BA2B73">
        <w:t>firewood.</w:t>
      </w:r>
    </w:p>
    <w:p w14:paraId="00D4880C" w14:textId="77777777" w:rsidR="002203CC" w:rsidRDefault="002203CC" w:rsidP="002203CC">
      <w:pPr>
        <w:ind w:firstLine="720"/>
        <w:rPr>
          <w:b/>
          <w:bCs/>
        </w:rPr>
      </w:pPr>
      <w:r>
        <w:rPr>
          <w:b/>
          <w:bCs/>
        </w:rPr>
        <w:t>Baseline Conditions</w:t>
      </w:r>
    </w:p>
    <w:p w14:paraId="7473DA32" w14:textId="105B364E" w:rsidR="002203CC" w:rsidRDefault="003E288B" w:rsidP="002203CC">
      <w:pPr>
        <w:ind w:left="720"/>
      </w:pPr>
      <w:r>
        <w:t xml:space="preserve">The baseline condition is use of propane or fuel oil #2 in the </w:t>
      </w:r>
      <w:r w:rsidR="00DD134A">
        <w:t xml:space="preserve">residential </w:t>
      </w:r>
      <w:r>
        <w:t xml:space="preserve">thermal sector that </w:t>
      </w:r>
      <w:r w:rsidR="00DD134A">
        <w:t xml:space="preserve">is </w:t>
      </w:r>
      <w:r>
        <w:t xml:space="preserve">delivered </w:t>
      </w:r>
      <w:r w:rsidRPr="00CC4847">
        <w:t xml:space="preserve">to the end-user </w:t>
      </w:r>
      <w:r>
        <w:t xml:space="preserve">through a truck delivery service. </w:t>
      </w:r>
      <w:r w:rsidRPr="00CC4847">
        <w:t>Other baseline conditions are not characterized for this measure</w:t>
      </w:r>
      <w:r w:rsidR="00BA2B73">
        <w:t>.</w:t>
      </w:r>
    </w:p>
    <w:p w14:paraId="1B86A5F4" w14:textId="77777777" w:rsidR="002203CC" w:rsidRDefault="002203CC" w:rsidP="002203CC">
      <w:pPr>
        <w:ind w:firstLine="720"/>
        <w:rPr>
          <w:b/>
          <w:bCs/>
        </w:rPr>
      </w:pPr>
      <w:r>
        <w:rPr>
          <w:b/>
          <w:bCs/>
        </w:rPr>
        <w:t>Proposed Conditions</w:t>
      </w:r>
    </w:p>
    <w:p w14:paraId="17995557" w14:textId="67F17C07" w:rsidR="002203CC" w:rsidRDefault="002203CC" w:rsidP="002203CC">
      <w:pPr>
        <w:ind w:left="720"/>
      </w:pPr>
      <w:r>
        <w:t xml:space="preserve">The proposed fuel is </w:t>
      </w:r>
      <w:r w:rsidR="00BA2B73">
        <w:t>firewood</w:t>
      </w:r>
      <w:r>
        <w:t xml:space="preserve"> that is produced from lumber wood feedstocks. The </w:t>
      </w:r>
      <w:r w:rsidR="00DD134A">
        <w:t>firewood</w:t>
      </w:r>
      <w:r>
        <w:t xml:space="preserve"> production pathway includes feedstock collection of lumber wood and transport of fuels to distributors. The production pathway excludes impacts relating to land use changes. </w:t>
      </w:r>
    </w:p>
    <w:p w14:paraId="64359CDC" w14:textId="1541DBF1" w:rsidR="003E288B" w:rsidRDefault="003E288B" w:rsidP="003E288B">
      <w:pPr>
        <w:ind w:left="720"/>
      </w:pPr>
      <w:r w:rsidRPr="000F1E17">
        <w:t>For wood fuels, it takes significant time</w:t>
      </w:r>
      <w:r>
        <w:t xml:space="preserve"> </w:t>
      </w:r>
      <w:r w:rsidRPr="000F1E17">
        <w:t>for the regrowth of new trees to fully sequester the biogenic carbon emitted during combustion</w:t>
      </w:r>
      <w:r>
        <w:t xml:space="preserve"> of wood fuel</w:t>
      </w:r>
      <w:r w:rsidRPr="000F1E17">
        <w:t>.</w:t>
      </w:r>
      <w:r>
        <w:t xml:space="preserve"> A</w:t>
      </w:r>
      <w:r w:rsidRPr="000F1E17">
        <w:t xml:space="preserve"> </w:t>
      </w:r>
      <w:proofErr w:type="spellStart"/>
      <w:r w:rsidRPr="000F1E17">
        <w:t>GWP</w:t>
      </w:r>
      <w:r w:rsidRPr="000F1E17">
        <w:rPr>
          <w:vertAlign w:val="subscript"/>
        </w:rPr>
        <w:t>bio</w:t>
      </w:r>
      <w:proofErr w:type="spellEnd"/>
      <w:r w:rsidRPr="000F1E17">
        <w:t xml:space="preserve"> </w:t>
      </w:r>
      <w:r>
        <w:t xml:space="preserve">factor of 0.32 is applied </w:t>
      </w:r>
      <w:r w:rsidRPr="000F1E17">
        <w:t>to CO</w:t>
      </w:r>
      <w:r w:rsidRPr="000F1E17">
        <w:rPr>
          <w:vertAlign w:val="subscript"/>
        </w:rPr>
        <w:t>2</w:t>
      </w:r>
      <w:r w:rsidRPr="000F1E17">
        <w:t xml:space="preserve"> combustion emissions </w:t>
      </w:r>
      <w:r>
        <w:t xml:space="preserve">for </w:t>
      </w:r>
      <w:r w:rsidRPr="000F1E17">
        <w:t>wood fuels to account for the regrowth period.</w:t>
      </w:r>
      <w:r>
        <w:rPr>
          <w:rStyle w:val="FootnoteReference"/>
        </w:rPr>
        <w:footnoteReference w:id="20"/>
      </w:r>
      <w:r>
        <w:t xml:space="preserve"> </w:t>
      </w:r>
      <w:r w:rsidR="00257E63">
        <w:t>This factor is embedded in the emission rate schedule in &lt;EMISSIONS SCHEDULE&gt; in &lt;FRONT MATTER SECTION&gt;.</w:t>
      </w:r>
    </w:p>
    <w:p w14:paraId="6AFE4469" w14:textId="77CF8F84" w:rsidR="002203CC" w:rsidRDefault="003E288B" w:rsidP="003E288B">
      <w:pPr>
        <w:ind w:left="720"/>
      </w:pPr>
      <w:r>
        <w:t>Emissions resulting from the distribution of fuels from the distributor to the end user are presumed equal between the proposed and baseline conditions since truck delivery is assumed in both for propane and fuel oil #2.</w:t>
      </w:r>
    </w:p>
    <w:p w14:paraId="6CA6946B" w14:textId="07386AA0" w:rsidR="003E288B" w:rsidRDefault="003E288B" w:rsidP="00C624DD">
      <w:pPr>
        <w:pStyle w:val="Heading4"/>
        <w:keepNext/>
        <w:keepLines/>
      </w:pPr>
      <w:r>
        <w:t xml:space="preserve">Eligibility </w:t>
      </w:r>
      <w:r w:rsidR="003309E0">
        <w:t>Criteria</w:t>
      </w:r>
    </w:p>
    <w:p w14:paraId="4D98C91A" w14:textId="23C011C8" w:rsidR="003E288B" w:rsidRDefault="003E288B" w:rsidP="003E288B">
      <w:r>
        <w:t xml:space="preserve">This measure characterizes </w:t>
      </w:r>
      <w:r w:rsidR="00BA2B73">
        <w:t>firewood</w:t>
      </w:r>
      <w:r>
        <w:t xml:space="preserve"> used in the thermal sector under a certain set of conditions. Specifically:</w:t>
      </w:r>
    </w:p>
    <w:p w14:paraId="7967CA93" w14:textId="3C77AF86" w:rsidR="003E288B" w:rsidRDefault="003E288B" w:rsidP="003E288B">
      <w:pPr>
        <w:pStyle w:val="ListBullet"/>
      </w:pPr>
      <w:r>
        <w:t xml:space="preserve">The </w:t>
      </w:r>
      <w:r w:rsidR="00BA2B73">
        <w:t>carbon intensity value for firewood</w:t>
      </w:r>
      <w:r>
        <w:t xml:space="preserve"> is characterized </w:t>
      </w:r>
      <w:proofErr w:type="gramStart"/>
      <w:r>
        <w:t>for</w:t>
      </w:r>
      <w:proofErr w:type="gramEnd"/>
      <w:r>
        <w:t xml:space="preserve"> production pathways that reside within the </w:t>
      </w:r>
      <w:r w:rsidR="00BA2B73">
        <w:t>Northeast</w:t>
      </w:r>
      <w:r>
        <w:t xml:space="preserve">. </w:t>
      </w:r>
      <w:r w:rsidR="00BA2B73">
        <w:t>Fire</w:t>
      </w:r>
      <w:r w:rsidR="003B3CE2">
        <w:t>wood</w:t>
      </w:r>
      <w:r>
        <w:t xml:space="preserve"> that </w:t>
      </w:r>
      <w:r w:rsidR="00BA2B73">
        <w:t xml:space="preserve">is </w:t>
      </w:r>
      <w:r>
        <w:t xml:space="preserve">imported from outside the </w:t>
      </w:r>
      <w:r w:rsidR="00BA2B73">
        <w:t>N</w:t>
      </w:r>
      <w:r>
        <w:t xml:space="preserve">ortheast </w:t>
      </w:r>
      <w:r w:rsidR="00BA2B73">
        <w:t xml:space="preserve">is </w:t>
      </w:r>
      <w:r>
        <w:t>not eligible for this measure.</w:t>
      </w:r>
      <w:r>
        <w:rPr>
          <w:rStyle w:val="FootnoteReference"/>
        </w:rPr>
        <w:footnoteReference w:id="21"/>
      </w:r>
      <w:r>
        <w:t xml:space="preserve"> </w:t>
      </w:r>
    </w:p>
    <w:p w14:paraId="1DD36B55" w14:textId="5D6C96F2" w:rsidR="003E288B" w:rsidRDefault="003E288B" w:rsidP="003E288B">
      <w:r w:rsidRPr="00D57932">
        <w:t xml:space="preserve">This measure does not characterize the use of </w:t>
      </w:r>
      <w:r w:rsidR="00BA2B73">
        <w:t>firewood</w:t>
      </w:r>
      <w:r w:rsidRPr="00D57932">
        <w:t xml:space="preserve"> in the thermal sector that does not meet </w:t>
      </w:r>
      <w:r w:rsidR="00BA2B73">
        <w:t>this</w:t>
      </w:r>
      <w:r w:rsidR="00BA2B73" w:rsidRPr="00D57932">
        <w:t xml:space="preserve"> </w:t>
      </w:r>
      <w:r w:rsidRPr="00D57932">
        <w:t>above condition</w:t>
      </w:r>
      <w:r w:rsidR="00BA2B73">
        <w:t>.</w:t>
      </w:r>
    </w:p>
    <w:p w14:paraId="3156DD22" w14:textId="0840A678" w:rsidR="003E288B" w:rsidRDefault="003E288B" w:rsidP="00F0605F">
      <w:pPr>
        <w:pStyle w:val="Heading4"/>
        <w:keepNext/>
        <w:keepLines/>
      </w:pPr>
      <w:r w:rsidRPr="00C36178">
        <w:lastRenderedPageBreak/>
        <w:t>Decarbonization</w:t>
      </w:r>
      <w:r>
        <w:t xml:space="preserve"> </w:t>
      </w:r>
      <w:r w:rsidR="003309E0">
        <w:t>Summary</w:t>
      </w:r>
    </w:p>
    <w:p w14:paraId="0C276774" w14:textId="7C4BEE1E" w:rsidR="002203CC" w:rsidRDefault="002203CC" w:rsidP="002203CC">
      <w:pPr>
        <w:ind w:left="720"/>
      </w:pPr>
      <w:r>
        <w:fldChar w:fldCharType="begin"/>
      </w:r>
      <w:r>
        <w:instrText xml:space="preserve"> REF _Ref176253356 \h </w:instrText>
      </w:r>
      <w:r>
        <w:fldChar w:fldCharType="separate"/>
      </w:r>
      <w:r w:rsidR="008F724F">
        <w:t xml:space="preserve">Table </w:t>
      </w:r>
      <w:r w:rsidR="008F724F">
        <w:rPr>
          <w:noProof/>
        </w:rPr>
        <w:t>10</w:t>
      </w:r>
      <w:r>
        <w:fldChar w:fldCharType="end"/>
      </w:r>
      <w:r>
        <w:t xml:space="preserve"> </w:t>
      </w:r>
      <w:r w:rsidRPr="00AF1550">
        <w:t xml:space="preserve">provides </w:t>
      </w:r>
      <w:r>
        <w:t xml:space="preserve">the </w:t>
      </w:r>
      <w:r w:rsidRPr="00AF1550">
        <w:t xml:space="preserve">estimated </w:t>
      </w:r>
      <w:r>
        <w:t>2025 decarbonization range for replacement of propane and fuel oil #2</w:t>
      </w:r>
      <w:r w:rsidRPr="0084682F">
        <w:t xml:space="preserve"> with </w:t>
      </w:r>
      <w:r w:rsidR="00BC7151">
        <w:t>firewood</w:t>
      </w:r>
      <w:r w:rsidRPr="0084682F">
        <w:t>.</w:t>
      </w:r>
      <w:r w:rsidR="003B3CE2" w:rsidRPr="003B3CE2">
        <w:t xml:space="preserve"> </w:t>
      </w:r>
      <w:r w:rsidR="003B3CE2" w:rsidRPr="007C1EC0">
        <w:t>These estimates are not inclusive of all eligible conditions; other conditions may be calculated from the algorithms herein.</w:t>
      </w:r>
    </w:p>
    <w:p w14:paraId="5EB87381" w14:textId="767FB8B6" w:rsidR="002203CC" w:rsidRDefault="002203CC" w:rsidP="00813BC9">
      <w:pPr>
        <w:pStyle w:val="Caption"/>
      </w:pPr>
      <w:bookmarkStart w:id="41" w:name="_Ref176253356"/>
      <w:r>
        <w:t xml:space="preserve">Table </w:t>
      </w:r>
      <w:r>
        <w:fldChar w:fldCharType="begin"/>
      </w:r>
      <w:r>
        <w:instrText xml:space="preserve"> SEQ Table \* ARABIC </w:instrText>
      </w:r>
      <w:r>
        <w:fldChar w:fldCharType="separate"/>
      </w:r>
      <w:r w:rsidR="008F724F">
        <w:rPr>
          <w:noProof/>
        </w:rPr>
        <w:t>10</w:t>
      </w:r>
      <w:r>
        <w:fldChar w:fldCharType="end"/>
      </w:r>
      <w:bookmarkEnd w:id="41"/>
      <w:r>
        <w:t>.</w:t>
      </w:r>
      <w:r w:rsidRPr="00897C4B">
        <w:t xml:space="preserve"> </w:t>
      </w:r>
      <w:r w:rsidR="00BC7151">
        <w:t>Firewood</w:t>
      </w:r>
      <w:r>
        <w:t xml:space="preserve"> </w:t>
      </w:r>
      <w:r w:rsidRPr="00897C4B">
        <w:t>CO</w:t>
      </w:r>
      <w:r w:rsidRPr="00E0795A">
        <w:rPr>
          <w:vertAlign w:val="subscript"/>
        </w:rPr>
        <w:t>2</w:t>
      </w:r>
      <w:r w:rsidRPr="00897C4B">
        <w:t>e Reductions</w:t>
      </w:r>
    </w:p>
    <w:tbl>
      <w:tblPr>
        <w:tblStyle w:val="ODCBasic-1"/>
        <w:tblW w:w="0" w:type="auto"/>
        <w:tblCellMar>
          <w:top w:w="0" w:type="dxa"/>
          <w:bottom w:w="14" w:type="dxa"/>
        </w:tblCellMar>
        <w:tblLook w:val="04A0" w:firstRow="1" w:lastRow="0" w:firstColumn="1" w:lastColumn="0" w:noHBand="0" w:noVBand="1"/>
      </w:tblPr>
      <w:tblGrid>
        <w:gridCol w:w="1486"/>
        <w:gridCol w:w="1294"/>
        <w:gridCol w:w="1288"/>
        <w:gridCol w:w="2677"/>
      </w:tblGrid>
      <w:tr w:rsidR="00BC7151" w14:paraId="6FE552EB" w14:textId="77777777" w:rsidTr="00C624DD">
        <w:trPr>
          <w:cnfStyle w:val="100000000000" w:firstRow="1" w:lastRow="0" w:firstColumn="0" w:lastColumn="0" w:oddVBand="0" w:evenVBand="0" w:oddHBand="0" w:evenHBand="0" w:firstRowFirstColumn="0" w:firstRowLastColumn="0" w:lastRowFirstColumn="0" w:lastRowLastColumn="0"/>
          <w:trHeight w:val="454"/>
          <w:tblHeader/>
        </w:trPr>
        <w:tc>
          <w:tcPr>
            <w:cnfStyle w:val="001000000000" w:firstRow="0" w:lastRow="0" w:firstColumn="1" w:lastColumn="0" w:oddVBand="0" w:evenVBand="0" w:oddHBand="0" w:evenHBand="0" w:firstRowFirstColumn="0" w:firstRowLastColumn="0" w:lastRowFirstColumn="0" w:lastRowLastColumn="0"/>
            <w:tcW w:w="0" w:type="auto"/>
            <w:tcBorders>
              <w:bottom w:val="single" w:sz="4" w:space="0" w:color="4A4D56" w:themeColor="text1"/>
              <w:right w:val="single" w:sz="4" w:space="0" w:color="4A4D56" w:themeColor="text1"/>
            </w:tcBorders>
          </w:tcPr>
          <w:p w14:paraId="60BDEAF1" w14:textId="77777777" w:rsidR="00BC7151" w:rsidRPr="00625570" w:rsidRDefault="00BC7151" w:rsidP="003C109B">
            <w:pPr>
              <w:pStyle w:val="TableHeadingLeft"/>
            </w:pPr>
            <w:r>
              <w:t>Alternative Fuel</w:t>
            </w:r>
          </w:p>
        </w:tc>
        <w:tc>
          <w:tcPr>
            <w:tcW w:w="0" w:type="auto"/>
            <w:tcBorders>
              <w:left w:val="single" w:sz="4" w:space="0" w:color="4A4D56" w:themeColor="text1"/>
              <w:bottom w:val="single" w:sz="4" w:space="0" w:color="4A4D56" w:themeColor="text1"/>
              <w:right w:val="single" w:sz="4" w:space="0" w:color="4A4D56" w:themeColor="text1"/>
            </w:tcBorders>
          </w:tcPr>
          <w:p w14:paraId="70EB0E38" w14:textId="77777777" w:rsidR="00BC7151" w:rsidRPr="00625570" w:rsidRDefault="00BC7151" w:rsidP="003C109B">
            <w:pPr>
              <w:pStyle w:val="TableHeadingCentered"/>
              <w:cnfStyle w:val="100000000000" w:firstRow="1" w:lastRow="0" w:firstColumn="0" w:lastColumn="0" w:oddVBand="0" w:evenVBand="0" w:oddHBand="0" w:evenHBand="0" w:firstRowFirstColumn="0" w:firstRowLastColumn="0" w:lastRowFirstColumn="0" w:lastRowLastColumn="0"/>
            </w:pPr>
            <w:r>
              <w:t>Baseline Fuel</w:t>
            </w:r>
          </w:p>
        </w:tc>
        <w:tc>
          <w:tcPr>
            <w:tcW w:w="0" w:type="auto"/>
            <w:tcBorders>
              <w:left w:val="single" w:sz="4" w:space="0" w:color="4A4D56" w:themeColor="text1"/>
              <w:bottom w:val="single" w:sz="4" w:space="0" w:color="4A4D56" w:themeColor="text1"/>
              <w:right w:val="single" w:sz="4" w:space="0" w:color="4A4D56" w:themeColor="text1"/>
            </w:tcBorders>
          </w:tcPr>
          <w:p w14:paraId="048D5F0D" w14:textId="77777777" w:rsidR="00BC7151" w:rsidRPr="00625570" w:rsidRDefault="00BC7151" w:rsidP="003C109B">
            <w:pPr>
              <w:pStyle w:val="TableHeadingCentered"/>
              <w:cnfStyle w:val="100000000000" w:firstRow="1" w:lastRow="0" w:firstColumn="0" w:lastColumn="0" w:oddVBand="0" w:evenVBand="0" w:oddHBand="0" w:evenHBand="0" w:firstRowFirstColumn="0" w:firstRowLastColumn="0" w:lastRowFirstColumn="0" w:lastRowLastColumn="0"/>
            </w:pPr>
            <w:r>
              <w:t>Building Type</w:t>
            </w:r>
          </w:p>
        </w:tc>
        <w:tc>
          <w:tcPr>
            <w:tcW w:w="2677" w:type="dxa"/>
            <w:tcBorders>
              <w:left w:val="single" w:sz="4" w:space="0" w:color="4A4D56" w:themeColor="text1"/>
              <w:bottom w:val="single" w:sz="4" w:space="0" w:color="4A4D56" w:themeColor="text1"/>
              <w:right w:val="single" w:sz="4" w:space="0" w:color="4A4D56" w:themeColor="text1"/>
            </w:tcBorders>
          </w:tcPr>
          <w:p w14:paraId="3E842DFF" w14:textId="3958E3A0" w:rsidR="00BC7151" w:rsidRPr="00625570" w:rsidRDefault="00BC7151" w:rsidP="003C109B">
            <w:pPr>
              <w:pStyle w:val="TableHeadingCentered"/>
              <w:cnfStyle w:val="100000000000" w:firstRow="1" w:lastRow="0" w:firstColumn="0" w:lastColumn="0" w:oddVBand="0" w:evenVBand="0" w:oddHBand="0" w:evenHBand="0" w:firstRowFirstColumn="0" w:firstRowLastColumn="0" w:lastRowFirstColumn="0" w:lastRowLastColumn="0"/>
            </w:pPr>
            <w:r w:rsidRPr="00B54E5A">
              <w:t>CO2e Reduction Per Unit [gCO</w:t>
            </w:r>
            <w:r w:rsidRPr="00C624DD">
              <w:rPr>
                <w:vertAlign w:val="subscript"/>
              </w:rPr>
              <w:t>2</w:t>
            </w:r>
            <w:r w:rsidRPr="00B54E5A">
              <w:t>e/short ton] in 2025</w:t>
            </w:r>
          </w:p>
        </w:tc>
      </w:tr>
      <w:tr w:rsidR="00BC7151" w14:paraId="528A5E09" w14:textId="77777777" w:rsidTr="00954C03">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0" w:type="auto"/>
            <w:vMerge w:val="restart"/>
            <w:tcBorders>
              <w:top w:val="single" w:sz="4" w:space="0" w:color="4A4D56" w:themeColor="text1"/>
            </w:tcBorders>
          </w:tcPr>
          <w:p w14:paraId="7B0EEEA5" w14:textId="7161505C" w:rsidR="00BC7151" w:rsidRPr="00625570" w:rsidRDefault="00BC7151" w:rsidP="00BC7151">
            <w:pPr>
              <w:pStyle w:val="TableLeftText"/>
            </w:pPr>
            <w:r>
              <w:t>Firewood</w:t>
            </w:r>
          </w:p>
        </w:tc>
        <w:tc>
          <w:tcPr>
            <w:tcW w:w="0" w:type="auto"/>
            <w:tcBorders>
              <w:top w:val="single" w:sz="4" w:space="0" w:color="4A4D56" w:themeColor="text1"/>
            </w:tcBorders>
          </w:tcPr>
          <w:p w14:paraId="06E62DD3" w14:textId="77777777" w:rsidR="00BC7151" w:rsidRPr="000B7901" w:rsidRDefault="00BC7151" w:rsidP="00BC7151">
            <w:pPr>
              <w:pStyle w:val="TableCenterText"/>
              <w:cnfStyle w:val="000000100000" w:firstRow="0" w:lastRow="0" w:firstColumn="0" w:lastColumn="0" w:oddVBand="0" w:evenVBand="0" w:oddHBand="1" w:evenHBand="0" w:firstRowFirstColumn="0" w:firstRowLastColumn="0" w:lastRowFirstColumn="0" w:lastRowLastColumn="0"/>
            </w:pPr>
            <w:r>
              <w:t>Propane</w:t>
            </w:r>
          </w:p>
        </w:tc>
        <w:tc>
          <w:tcPr>
            <w:tcW w:w="0" w:type="auto"/>
            <w:tcBorders>
              <w:top w:val="single" w:sz="4" w:space="0" w:color="4A4D56" w:themeColor="text1"/>
            </w:tcBorders>
          </w:tcPr>
          <w:p w14:paraId="4778B11F" w14:textId="77777777" w:rsidR="00BC7151" w:rsidRPr="000B7901" w:rsidRDefault="00BC7151" w:rsidP="00BC7151">
            <w:pPr>
              <w:pStyle w:val="TableCenterText"/>
              <w:cnfStyle w:val="000000100000" w:firstRow="0" w:lastRow="0" w:firstColumn="0" w:lastColumn="0" w:oddVBand="0" w:evenVBand="0" w:oddHBand="1" w:evenHBand="0" w:firstRowFirstColumn="0" w:firstRowLastColumn="0" w:lastRowFirstColumn="0" w:lastRowLastColumn="0"/>
            </w:pPr>
            <w:r>
              <w:t>N/A</w:t>
            </w:r>
          </w:p>
        </w:tc>
        <w:tc>
          <w:tcPr>
            <w:tcW w:w="2677" w:type="dxa"/>
            <w:tcBorders>
              <w:top w:val="single" w:sz="4" w:space="0" w:color="4A4D56" w:themeColor="text1"/>
            </w:tcBorders>
          </w:tcPr>
          <w:p w14:paraId="7C2FD850" w14:textId="47ABF7D2" w:rsidR="00BC7151" w:rsidRPr="000B7901" w:rsidRDefault="00BC7151" w:rsidP="00954C03">
            <w:pPr>
              <w:pStyle w:val="TableCenterText"/>
              <w:jc w:val="right"/>
              <w:cnfStyle w:val="000000100000" w:firstRow="0" w:lastRow="0" w:firstColumn="0" w:lastColumn="0" w:oddVBand="0" w:evenVBand="0" w:oddHBand="1" w:evenHBand="0" w:firstRowFirstColumn="0" w:firstRowLastColumn="0" w:lastRowFirstColumn="0" w:lastRowLastColumn="0"/>
            </w:pPr>
            <w:r w:rsidRPr="008D167F">
              <w:t>693,383</w:t>
            </w:r>
          </w:p>
        </w:tc>
      </w:tr>
      <w:tr w:rsidR="00BC7151" w14:paraId="48AC4754" w14:textId="77777777" w:rsidTr="00954C03">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0" w:type="auto"/>
            <w:vMerge/>
          </w:tcPr>
          <w:p w14:paraId="21466B8B" w14:textId="77777777" w:rsidR="00BC7151" w:rsidRPr="00625570" w:rsidRDefault="00BC7151" w:rsidP="00BC7151">
            <w:pPr>
              <w:pStyle w:val="TableLeftText"/>
            </w:pPr>
          </w:p>
        </w:tc>
        <w:tc>
          <w:tcPr>
            <w:tcW w:w="0" w:type="auto"/>
          </w:tcPr>
          <w:p w14:paraId="25987908" w14:textId="77777777" w:rsidR="00BC7151" w:rsidRPr="000B7901" w:rsidRDefault="00BC7151" w:rsidP="00BC7151">
            <w:pPr>
              <w:pStyle w:val="TableCenterText"/>
              <w:cnfStyle w:val="000000010000" w:firstRow="0" w:lastRow="0" w:firstColumn="0" w:lastColumn="0" w:oddVBand="0" w:evenVBand="0" w:oddHBand="0" w:evenHBand="1" w:firstRowFirstColumn="0" w:firstRowLastColumn="0" w:lastRowFirstColumn="0" w:lastRowLastColumn="0"/>
            </w:pPr>
            <w:r>
              <w:t>Fuel oil #2</w:t>
            </w:r>
          </w:p>
        </w:tc>
        <w:tc>
          <w:tcPr>
            <w:tcW w:w="0" w:type="auto"/>
          </w:tcPr>
          <w:p w14:paraId="6567F0F6" w14:textId="77777777" w:rsidR="00BC7151" w:rsidRPr="000B7901" w:rsidRDefault="00BC7151" w:rsidP="00BC7151">
            <w:pPr>
              <w:pStyle w:val="TableCenterText"/>
              <w:cnfStyle w:val="000000010000" w:firstRow="0" w:lastRow="0" w:firstColumn="0" w:lastColumn="0" w:oddVBand="0" w:evenVBand="0" w:oddHBand="0" w:evenHBand="1" w:firstRowFirstColumn="0" w:firstRowLastColumn="0" w:lastRowFirstColumn="0" w:lastRowLastColumn="0"/>
            </w:pPr>
            <w:r>
              <w:t>N/A</w:t>
            </w:r>
          </w:p>
        </w:tc>
        <w:tc>
          <w:tcPr>
            <w:tcW w:w="2677" w:type="dxa"/>
          </w:tcPr>
          <w:p w14:paraId="5F93EB07" w14:textId="1571FD3D" w:rsidR="00BC7151" w:rsidRPr="000B7901" w:rsidRDefault="00BC7151" w:rsidP="00954C03">
            <w:pPr>
              <w:pStyle w:val="TableCenterText"/>
              <w:jc w:val="right"/>
              <w:cnfStyle w:val="000000010000" w:firstRow="0" w:lastRow="0" w:firstColumn="0" w:lastColumn="0" w:oddVBand="0" w:evenVBand="0" w:oddHBand="0" w:evenHBand="1" w:firstRowFirstColumn="0" w:firstRowLastColumn="0" w:lastRowFirstColumn="0" w:lastRowLastColumn="0"/>
            </w:pPr>
            <w:r w:rsidRPr="008D167F">
              <w:t>852,892</w:t>
            </w:r>
          </w:p>
        </w:tc>
      </w:tr>
      <w:tr w:rsidR="00954C03" w14:paraId="1D71E32D" w14:textId="77777777" w:rsidTr="00257E63">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0" w:type="auto"/>
            <w:vMerge/>
          </w:tcPr>
          <w:p w14:paraId="1A46B1D8" w14:textId="77777777" w:rsidR="00954C03" w:rsidRPr="00625570" w:rsidRDefault="00954C03" w:rsidP="00954C03">
            <w:pPr>
              <w:pStyle w:val="TableLeftText"/>
            </w:pPr>
          </w:p>
        </w:tc>
        <w:tc>
          <w:tcPr>
            <w:tcW w:w="0" w:type="auto"/>
          </w:tcPr>
          <w:p w14:paraId="25217B58" w14:textId="793C5751" w:rsidR="00954C03" w:rsidRDefault="00954C03" w:rsidP="00954C03">
            <w:pPr>
              <w:pStyle w:val="TableCenterText"/>
              <w:cnfStyle w:val="000000100000" w:firstRow="0" w:lastRow="0" w:firstColumn="0" w:lastColumn="0" w:oddVBand="0" w:evenVBand="0" w:oddHBand="1" w:evenHBand="0" w:firstRowFirstColumn="0" w:firstRowLastColumn="0" w:lastRowFirstColumn="0" w:lastRowLastColumn="0"/>
            </w:pPr>
            <w:r>
              <w:t xml:space="preserve">Natural </w:t>
            </w:r>
            <w:r w:rsidR="00257E63">
              <w:t>g</w:t>
            </w:r>
            <w:r>
              <w:t>as</w:t>
            </w:r>
          </w:p>
        </w:tc>
        <w:tc>
          <w:tcPr>
            <w:tcW w:w="0" w:type="auto"/>
          </w:tcPr>
          <w:p w14:paraId="1085AA93" w14:textId="0C6D0514" w:rsidR="00954C03" w:rsidRDefault="00954C03" w:rsidP="00954C03">
            <w:pPr>
              <w:pStyle w:val="TableCenterText"/>
              <w:cnfStyle w:val="000000100000" w:firstRow="0" w:lastRow="0" w:firstColumn="0" w:lastColumn="0" w:oddVBand="0" w:evenVBand="0" w:oddHBand="1" w:evenHBand="0" w:firstRowFirstColumn="0" w:firstRowLastColumn="0" w:lastRowFirstColumn="0" w:lastRowLastColumn="0"/>
            </w:pPr>
            <w:r>
              <w:t>N/A</w:t>
            </w:r>
          </w:p>
        </w:tc>
        <w:tc>
          <w:tcPr>
            <w:tcW w:w="0" w:type="dxa"/>
          </w:tcPr>
          <w:p w14:paraId="72ED8771" w14:textId="3C32016A" w:rsidR="00954C03" w:rsidRPr="000B7901" w:rsidRDefault="00954C03" w:rsidP="00954C03">
            <w:pPr>
              <w:pStyle w:val="TableCenterText"/>
              <w:jc w:val="right"/>
              <w:cnfStyle w:val="000000100000" w:firstRow="0" w:lastRow="0" w:firstColumn="0" w:lastColumn="0" w:oddVBand="0" w:evenVBand="0" w:oddHBand="1" w:evenHBand="0" w:firstRowFirstColumn="0" w:firstRowLastColumn="0" w:lastRowFirstColumn="0" w:lastRowLastColumn="0"/>
            </w:pPr>
            <w:r w:rsidRPr="00712B6D">
              <w:t>526,468</w:t>
            </w:r>
          </w:p>
        </w:tc>
      </w:tr>
      <w:tr w:rsidR="00954C03" w14:paraId="31C24AB9" w14:textId="77777777" w:rsidTr="00257E63">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0" w:type="auto"/>
            <w:vMerge/>
          </w:tcPr>
          <w:p w14:paraId="3D9AA68F" w14:textId="77777777" w:rsidR="00954C03" w:rsidRPr="00625570" w:rsidRDefault="00954C03" w:rsidP="00954C03">
            <w:pPr>
              <w:pStyle w:val="TableLeftText"/>
            </w:pPr>
          </w:p>
        </w:tc>
        <w:tc>
          <w:tcPr>
            <w:tcW w:w="0" w:type="auto"/>
            <w:vMerge w:val="restart"/>
          </w:tcPr>
          <w:p w14:paraId="70F4969C" w14:textId="77777777" w:rsidR="00954C03" w:rsidRPr="000B7901" w:rsidRDefault="00954C03" w:rsidP="00954C03">
            <w:pPr>
              <w:pStyle w:val="TableCenterText"/>
              <w:cnfStyle w:val="000000010000" w:firstRow="0" w:lastRow="0" w:firstColumn="0" w:lastColumn="0" w:oddVBand="0" w:evenVBand="0" w:oddHBand="0" w:evenHBand="1" w:firstRowFirstColumn="0" w:firstRowLastColumn="0" w:lastRowFirstColumn="0" w:lastRowLastColumn="0"/>
            </w:pPr>
            <w:r>
              <w:t>Unknown</w:t>
            </w:r>
          </w:p>
        </w:tc>
        <w:tc>
          <w:tcPr>
            <w:tcW w:w="0" w:type="auto"/>
          </w:tcPr>
          <w:p w14:paraId="7242D6A1" w14:textId="77777777" w:rsidR="00954C03" w:rsidRPr="000B7901" w:rsidRDefault="00954C03" w:rsidP="00954C03">
            <w:pPr>
              <w:pStyle w:val="TableCenterText"/>
              <w:cnfStyle w:val="000000010000" w:firstRow="0" w:lastRow="0" w:firstColumn="0" w:lastColumn="0" w:oddVBand="0" w:evenVBand="0" w:oddHBand="0" w:evenHBand="1" w:firstRowFirstColumn="0" w:firstRowLastColumn="0" w:lastRowFirstColumn="0" w:lastRowLastColumn="0"/>
            </w:pPr>
            <w:r>
              <w:t>Single Family</w:t>
            </w:r>
          </w:p>
        </w:tc>
        <w:tc>
          <w:tcPr>
            <w:tcW w:w="0" w:type="dxa"/>
          </w:tcPr>
          <w:p w14:paraId="0930D75A" w14:textId="656D1A78" w:rsidR="00954C03" w:rsidRPr="000B7901" w:rsidRDefault="00954C03" w:rsidP="00954C03">
            <w:pPr>
              <w:pStyle w:val="TableCenterText"/>
              <w:jc w:val="right"/>
              <w:cnfStyle w:val="000000010000" w:firstRow="0" w:lastRow="0" w:firstColumn="0" w:lastColumn="0" w:oddVBand="0" w:evenVBand="0" w:oddHBand="0" w:evenHBand="1" w:firstRowFirstColumn="0" w:firstRowLastColumn="0" w:lastRowFirstColumn="0" w:lastRowLastColumn="0"/>
            </w:pPr>
            <w:r w:rsidRPr="00712B6D">
              <w:t>639,477</w:t>
            </w:r>
          </w:p>
        </w:tc>
      </w:tr>
      <w:tr w:rsidR="00954C03" w14:paraId="2EF24B4D" w14:textId="77777777" w:rsidTr="00257E63">
        <w:trPr>
          <w:cnfStyle w:val="000000100000" w:firstRow="0" w:lastRow="0" w:firstColumn="0" w:lastColumn="0" w:oddVBand="0" w:evenVBand="0" w:oddHBand="1" w:evenHBand="0"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0" w:type="auto"/>
            <w:vMerge/>
          </w:tcPr>
          <w:p w14:paraId="05B96970" w14:textId="77777777" w:rsidR="00954C03" w:rsidRPr="00625570" w:rsidRDefault="00954C03" w:rsidP="00954C03">
            <w:pPr>
              <w:pStyle w:val="TableLeftText"/>
            </w:pPr>
          </w:p>
        </w:tc>
        <w:tc>
          <w:tcPr>
            <w:tcW w:w="0" w:type="auto"/>
            <w:vMerge/>
          </w:tcPr>
          <w:p w14:paraId="350E9314" w14:textId="77777777" w:rsidR="00954C03" w:rsidRPr="000B7901" w:rsidRDefault="00954C03" w:rsidP="00954C03">
            <w:pPr>
              <w:pStyle w:val="TableCenterText"/>
              <w:cnfStyle w:val="000000100000" w:firstRow="0" w:lastRow="0" w:firstColumn="0" w:lastColumn="0" w:oddVBand="0" w:evenVBand="0" w:oddHBand="1" w:evenHBand="0" w:firstRowFirstColumn="0" w:firstRowLastColumn="0" w:lastRowFirstColumn="0" w:lastRowLastColumn="0"/>
            </w:pPr>
          </w:p>
        </w:tc>
        <w:tc>
          <w:tcPr>
            <w:tcW w:w="0" w:type="auto"/>
          </w:tcPr>
          <w:p w14:paraId="0B2D323F" w14:textId="77777777" w:rsidR="00954C03" w:rsidRDefault="00954C03" w:rsidP="00954C03">
            <w:pPr>
              <w:pStyle w:val="TableCenterText"/>
              <w:cnfStyle w:val="000000100000" w:firstRow="0" w:lastRow="0" w:firstColumn="0" w:lastColumn="0" w:oddVBand="0" w:evenVBand="0" w:oddHBand="1" w:evenHBand="0" w:firstRowFirstColumn="0" w:firstRowLastColumn="0" w:lastRowFirstColumn="0" w:lastRowLastColumn="0"/>
            </w:pPr>
            <w:r>
              <w:t>Multifamily</w:t>
            </w:r>
          </w:p>
        </w:tc>
        <w:tc>
          <w:tcPr>
            <w:tcW w:w="0" w:type="dxa"/>
          </w:tcPr>
          <w:p w14:paraId="5FED5567" w14:textId="259D5B11" w:rsidR="00954C03" w:rsidRPr="00067139" w:rsidRDefault="00954C03" w:rsidP="00954C03">
            <w:pPr>
              <w:pStyle w:val="TableCenterText"/>
              <w:jc w:val="right"/>
              <w:cnfStyle w:val="000000100000" w:firstRow="0" w:lastRow="0" w:firstColumn="0" w:lastColumn="0" w:oddVBand="0" w:evenVBand="0" w:oddHBand="1" w:evenHBand="0" w:firstRowFirstColumn="0" w:firstRowLastColumn="0" w:lastRowFirstColumn="0" w:lastRowLastColumn="0"/>
            </w:pPr>
            <w:r w:rsidRPr="00712B6D">
              <w:t>449,213</w:t>
            </w:r>
          </w:p>
        </w:tc>
      </w:tr>
      <w:tr w:rsidR="00954C03" w14:paraId="5D9ACDD8" w14:textId="77777777" w:rsidTr="00257E63">
        <w:trPr>
          <w:cnfStyle w:val="000000010000" w:firstRow="0" w:lastRow="0" w:firstColumn="0" w:lastColumn="0" w:oddVBand="0" w:evenVBand="0" w:oddHBand="0" w:evenHBand="1" w:firstRowFirstColumn="0" w:firstRowLastColumn="0" w:lastRowFirstColumn="0" w:lastRowLastColumn="0"/>
          <w:cantSplit/>
          <w:trHeight w:val="288"/>
        </w:trPr>
        <w:tc>
          <w:tcPr>
            <w:cnfStyle w:val="001000000000" w:firstRow="0" w:lastRow="0" w:firstColumn="1" w:lastColumn="0" w:oddVBand="0" w:evenVBand="0" w:oddHBand="0" w:evenHBand="0" w:firstRowFirstColumn="0" w:firstRowLastColumn="0" w:lastRowFirstColumn="0" w:lastRowLastColumn="0"/>
            <w:tcW w:w="0" w:type="auto"/>
            <w:vMerge/>
          </w:tcPr>
          <w:p w14:paraId="203F9E9E" w14:textId="77777777" w:rsidR="00954C03" w:rsidRPr="00625570" w:rsidRDefault="00954C03" w:rsidP="00954C03">
            <w:pPr>
              <w:pStyle w:val="TableLeftText"/>
            </w:pPr>
          </w:p>
        </w:tc>
        <w:tc>
          <w:tcPr>
            <w:tcW w:w="0" w:type="auto"/>
            <w:vMerge/>
          </w:tcPr>
          <w:p w14:paraId="43B4DE7A" w14:textId="77777777" w:rsidR="00954C03" w:rsidRPr="000B7901" w:rsidRDefault="00954C03" w:rsidP="00954C03">
            <w:pPr>
              <w:pStyle w:val="TableCenterText"/>
              <w:cnfStyle w:val="000000010000" w:firstRow="0" w:lastRow="0" w:firstColumn="0" w:lastColumn="0" w:oddVBand="0" w:evenVBand="0" w:oddHBand="0" w:evenHBand="1" w:firstRowFirstColumn="0" w:firstRowLastColumn="0" w:lastRowFirstColumn="0" w:lastRowLastColumn="0"/>
            </w:pPr>
          </w:p>
        </w:tc>
        <w:tc>
          <w:tcPr>
            <w:tcW w:w="0" w:type="auto"/>
          </w:tcPr>
          <w:p w14:paraId="0CC7C850" w14:textId="77777777" w:rsidR="00954C03" w:rsidRPr="000B7901" w:rsidRDefault="00954C03" w:rsidP="00954C03">
            <w:pPr>
              <w:pStyle w:val="TableCenterText"/>
              <w:cnfStyle w:val="000000010000" w:firstRow="0" w:lastRow="0" w:firstColumn="0" w:lastColumn="0" w:oddVBand="0" w:evenVBand="0" w:oddHBand="0" w:evenHBand="1" w:firstRowFirstColumn="0" w:firstRowLastColumn="0" w:lastRowFirstColumn="0" w:lastRowLastColumn="0"/>
            </w:pPr>
            <w:r>
              <w:t>Unknown</w:t>
            </w:r>
          </w:p>
        </w:tc>
        <w:tc>
          <w:tcPr>
            <w:tcW w:w="0" w:type="dxa"/>
          </w:tcPr>
          <w:p w14:paraId="675C5E4E" w14:textId="20BB5D1D" w:rsidR="00954C03" w:rsidRPr="000B7901" w:rsidRDefault="00954C03" w:rsidP="00954C03">
            <w:pPr>
              <w:pStyle w:val="TableCenterText"/>
              <w:jc w:val="right"/>
              <w:cnfStyle w:val="000000010000" w:firstRow="0" w:lastRow="0" w:firstColumn="0" w:lastColumn="0" w:oddVBand="0" w:evenVBand="0" w:oddHBand="0" w:evenHBand="1" w:firstRowFirstColumn="0" w:firstRowLastColumn="0" w:lastRowFirstColumn="0" w:lastRowLastColumn="0"/>
            </w:pPr>
            <w:r w:rsidRPr="00712B6D">
              <w:t>619,418</w:t>
            </w:r>
          </w:p>
        </w:tc>
      </w:tr>
    </w:tbl>
    <w:p w14:paraId="25765FBD" w14:textId="0D057C35" w:rsidR="002203CC" w:rsidRDefault="002203CC" w:rsidP="002203CC">
      <w:pPr>
        <w:pStyle w:val="Heading4"/>
      </w:pPr>
      <w:r>
        <w:t xml:space="preserve">Decarbonization </w:t>
      </w:r>
      <w:r w:rsidRPr="00AF1550">
        <w:t xml:space="preserve">and Energy </w:t>
      </w:r>
      <w:r w:rsidR="003309E0">
        <w:t>I</w:t>
      </w:r>
      <w:r w:rsidR="003309E0" w:rsidRPr="00AF1550">
        <w:t xml:space="preserve">mpacts </w:t>
      </w:r>
      <w:r>
        <w:t>Algorithms</w:t>
      </w:r>
    </w:p>
    <w:p w14:paraId="4943AF20" w14:textId="1E1E5336" w:rsidR="002203CC" w:rsidRPr="00AF1550" w:rsidRDefault="002203CC" w:rsidP="002203CC">
      <w:r w:rsidRPr="00AF1550">
        <w:tab/>
        <w:t>CO</w:t>
      </w:r>
      <w:r w:rsidRPr="007A6B38">
        <w:rPr>
          <w:vertAlign w:val="subscript"/>
        </w:rPr>
        <w:t>2</w:t>
      </w:r>
      <w:r w:rsidRPr="00AF1550">
        <w:t>e (gCO</w:t>
      </w:r>
      <w:r>
        <w:rPr>
          <w:vertAlign w:val="subscript"/>
        </w:rPr>
        <w:t>2</w:t>
      </w:r>
      <w:r w:rsidRPr="00AF1550">
        <w:t xml:space="preserve">e) = </w:t>
      </w:r>
      <m:oMath>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base</m:t>
                </m:r>
              </m:sub>
            </m:sSub>
            <m:r>
              <w:rPr>
                <w:rFonts w:ascii="Cambria Math" w:hAnsi="Cambria Math"/>
              </w:rPr>
              <m:t>-</m:t>
            </m:r>
            <m:sSub>
              <m:sSubPr>
                <m:ctrlPr>
                  <w:rPr>
                    <w:rFonts w:ascii="Cambria Math" w:hAnsi="Cambria Math"/>
                    <w:i/>
                  </w:rPr>
                </m:ctrlPr>
              </m:sSubPr>
              <m:e>
                <m:r>
                  <w:rPr>
                    <w:rFonts w:ascii="Cambria Math" w:hAnsi="Cambria Math"/>
                  </w:rPr>
                  <m:t>CI</m:t>
                </m:r>
              </m:e>
              <m:sub>
                <m:r>
                  <w:rPr>
                    <w:rFonts w:ascii="Cambria Math" w:hAnsi="Cambria Math"/>
                  </w:rPr>
                  <m:t>prop</m:t>
                </m:r>
              </m:sub>
            </m:sSub>
          </m:e>
        </m:d>
        <m:r>
          <w:rPr>
            <w:rFonts w:ascii="Cambria Math" w:hAnsi="Cambria Math"/>
          </w:rPr>
          <m:t>×E</m:t>
        </m:r>
      </m:oMath>
    </w:p>
    <w:p w14:paraId="5AEFCB88" w14:textId="6727B94C" w:rsidR="002203CC" w:rsidRDefault="00A86DE3" w:rsidP="002203CC">
      <w:pPr>
        <w:ind w:left="1440"/>
      </w:pPr>
      <w:proofErr w:type="spellStart"/>
      <w:r>
        <w:t>CI</w:t>
      </w:r>
      <w:r w:rsidR="002203CC" w:rsidRPr="00AF1550">
        <w:rPr>
          <w:vertAlign w:val="subscript"/>
        </w:rPr>
        <w:t>base</w:t>
      </w:r>
      <w:proofErr w:type="spellEnd"/>
      <w:r w:rsidR="002203CC" w:rsidRPr="00AF1550">
        <w:t xml:space="preserve"> = </w:t>
      </w:r>
      <w:r w:rsidR="002B2C69">
        <w:t>Baseline</w:t>
      </w:r>
      <w:r w:rsidR="00BC7151">
        <w:t xml:space="preserve"> </w:t>
      </w:r>
      <w:r w:rsidR="00DD134A">
        <w:t xml:space="preserve">fuel </w:t>
      </w:r>
      <w:r w:rsidR="00BC7151">
        <w:t>carbon intensity value</w:t>
      </w:r>
      <w:r w:rsidR="002B2C69">
        <w:t xml:space="preserve"> </w:t>
      </w:r>
      <w:r w:rsidR="00DD134A">
        <w:t>(</w:t>
      </w:r>
      <w:r w:rsidR="002203CC">
        <w:t>gCO</w:t>
      </w:r>
      <w:r w:rsidR="002203CC" w:rsidRPr="0041296A">
        <w:rPr>
          <w:vertAlign w:val="subscript"/>
        </w:rPr>
        <w:t>2</w:t>
      </w:r>
      <w:r w:rsidR="002203CC" w:rsidRPr="00A45E83">
        <w:t>e</w:t>
      </w:r>
      <w:r w:rsidR="002203CC">
        <w:t>/MJ</w:t>
      </w:r>
      <w:r w:rsidR="00DD134A">
        <w:t>)</w:t>
      </w:r>
      <w:r w:rsidR="002203CC">
        <w:t xml:space="preserve">. Varies by year; see </w:t>
      </w:r>
      <w:r w:rsidR="00257E63">
        <w:t>&lt;EMISSIONS SCHEDULE&gt; in &lt;FRONT MATTER SECTION&gt;</w:t>
      </w:r>
      <w:r w:rsidR="002203CC">
        <w:t>.</w:t>
      </w:r>
      <w:r w:rsidR="002203CC" w:rsidRPr="002203CC">
        <w:t xml:space="preserve"> </w:t>
      </w:r>
      <w:r w:rsidR="002203CC">
        <w:t xml:space="preserve">If the baseline fuel is unknown, calculate a weighted </w:t>
      </w:r>
      <w:proofErr w:type="spellStart"/>
      <w:r>
        <w:t>CI</w:t>
      </w:r>
      <w:r w:rsidR="002203CC" w:rsidRPr="008D1B9B">
        <w:rPr>
          <w:vertAlign w:val="subscript"/>
        </w:rPr>
        <w:t>base</w:t>
      </w:r>
      <w:proofErr w:type="spellEnd"/>
      <w:r w:rsidR="002203CC">
        <w:t xml:space="preserve"> using the formula below and the heating fuel mix in </w:t>
      </w:r>
      <w:r w:rsidR="002203CC">
        <w:fldChar w:fldCharType="begin"/>
      </w:r>
      <w:r w:rsidR="002203CC">
        <w:instrText xml:space="preserve"> REF _Ref176258960 \h </w:instrText>
      </w:r>
      <w:r w:rsidR="002203CC">
        <w:fldChar w:fldCharType="separate"/>
      </w:r>
      <w:r w:rsidR="008F724F">
        <w:t xml:space="preserve">Table </w:t>
      </w:r>
      <w:r w:rsidR="008F724F">
        <w:rPr>
          <w:noProof/>
        </w:rPr>
        <w:t>11</w:t>
      </w:r>
      <w:r w:rsidR="002203CC">
        <w:fldChar w:fldCharType="end"/>
      </w:r>
      <w:r w:rsidR="002203CC">
        <w:t xml:space="preserve"> for the applicable building type and the corresponding baseline fuel </w:t>
      </w:r>
      <w:r w:rsidR="00BC7151">
        <w:t>carbon intensity value</w:t>
      </w:r>
      <w:r w:rsidR="002203CC">
        <w:t xml:space="preserve"> from </w:t>
      </w:r>
      <w:r w:rsidR="00257E63">
        <w:t>&lt;EMISSIONS SCHEDULE&gt; in &lt;FRONT MATTER SECTION&gt;</w:t>
      </w:r>
      <w:r w:rsidR="002203CC">
        <w:t>.</w:t>
      </w:r>
    </w:p>
    <w:p w14:paraId="71318B88" w14:textId="7C8B3818" w:rsidR="00880BF7" w:rsidRDefault="00A86DE3" w:rsidP="00880BF7">
      <w:pPr>
        <w:ind w:left="1440"/>
      </w:pPr>
      <w:proofErr w:type="spellStart"/>
      <w:r>
        <w:t>CI</w:t>
      </w:r>
      <w:r w:rsidR="00880BF7" w:rsidRPr="008D1B9B">
        <w:rPr>
          <w:vertAlign w:val="subscript"/>
        </w:rPr>
        <w:t>base</w:t>
      </w:r>
      <w:proofErr w:type="spellEnd"/>
      <w:r w:rsidR="00880BF7">
        <w:t xml:space="preserve"> = </w:t>
      </w:r>
      <m:oMath>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fueloil</m:t>
                </m:r>
              </m:sub>
            </m:sSub>
            <m:r>
              <w:rPr>
                <w:rFonts w:ascii="Cambria Math" w:hAnsi="Cambria Math"/>
              </w:rPr>
              <m:t>×%FuelOil</m:t>
            </m:r>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propane</m:t>
                </m:r>
              </m:sub>
            </m:sSub>
            <m:r>
              <w:rPr>
                <w:rFonts w:ascii="Cambria Math" w:hAnsi="Cambria Math"/>
              </w:rPr>
              <m:t>×%Propane</m:t>
            </m:r>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naturalgas</m:t>
                </m:r>
              </m:sub>
            </m:sSub>
            <m:r>
              <w:rPr>
                <w:rFonts w:ascii="Cambria Math" w:hAnsi="Cambria Math"/>
              </w:rPr>
              <m:t>×%NaturalGas</m:t>
            </m:r>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electricity</m:t>
                </m:r>
              </m:sub>
            </m:sSub>
            <m:r>
              <w:rPr>
                <w:rFonts w:ascii="Cambria Math" w:hAnsi="Cambria Math"/>
              </w:rPr>
              <m:t>×%Electricity</m:t>
            </m:r>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CI</m:t>
                </m:r>
              </m:e>
              <m:sub>
                <m:r>
                  <w:rPr>
                    <w:rFonts w:ascii="Cambria Math" w:hAnsi="Cambria Math"/>
                  </w:rPr>
                  <m:t>wood</m:t>
                </m:r>
              </m:sub>
            </m:sSub>
            <m:r>
              <w:rPr>
                <w:rFonts w:ascii="Cambria Math" w:hAnsi="Cambria Math"/>
              </w:rPr>
              <m:t>×%Wood</m:t>
            </m:r>
          </m:e>
        </m:d>
      </m:oMath>
    </w:p>
    <w:p w14:paraId="14C2E329" w14:textId="272FFB46" w:rsidR="00880BF7" w:rsidRDefault="001B0413" w:rsidP="00941CD9">
      <w:pPr>
        <w:ind w:left="2160"/>
      </w:pPr>
      <w:r>
        <w:t>%</w:t>
      </w:r>
      <w:proofErr w:type="spellStart"/>
      <w:r>
        <w:t>FuelOil</w:t>
      </w:r>
      <w:proofErr w:type="spellEnd"/>
      <w:r>
        <w:t xml:space="preserve">, etc. = Relative proportion of fuel in Vermont’s thermal sector </w:t>
      </w:r>
      <w:r w:rsidR="00880BF7">
        <w:rPr>
          <w:rFonts w:asciiTheme="minorHAnsi" w:hAnsiTheme="minorHAnsi" w:cs="Calibri"/>
        </w:rPr>
        <w:t xml:space="preserve">(see </w:t>
      </w:r>
      <w:r w:rsidR="00880BF7">
        <w:fldChar w:fldCharType="begin"/>
      </w:r>
      <w:r w:rsidR="00880BF7">
        <w:instrText xml:space="preserve"> REF _Ref176258960 \h </w:instrText>
      </w:r>
      <w:r w:rsidR="00880BF7">
        <w:fldChar w:fldCharType="separate"/>
      </w:r>
      <w:r w:rsidR="008F724F">
        <w:t xml:space="preserve">Table </w:t>
      </w:r>
      <w:r w:rsidR="008F724F">
        <w:rPr>
          <w:noProof/>
        </w:rPr>
        <w:t>11</w:t>
      </w:r>
      <w:r w:rsidR="00880BF7">
        <w:fldChar w:fldCharType="end"/>
      </w:r>
      <w:r w:rsidR="00880BF7">
        <w:rPr>
          <w:rFonts w:asciiTheme="minorHAnsi" w:hAnsiTheme="minorHAnsi" w:cs="Calibri"/>
        </w:rPr>
        <w:t>)</w:t>
      </w:r>
    </w:p>
    <w:p w14:paraId="13914E06" w14:textId="4276993E" w:rsidR="00880BF7" w:rsidRPr="00880BF7" w:rsidRDefault="00A86DE3" w:rsidP="00941CD9">
      <w:pPr>
        <w:ind w:left="2160"/>
      </w:pPr>
      <w:proofErr w:type="spellStart"/>
      <w:r>
        <w:t>CI</w:t>
      </w:r>
      <w:r w:rsidR="00880BF7">
        <w:rPr>
          <w:vertAlign w:val="subscript"/>
        </w:rPr>
        <w:t>fueloil</w:t>
      </w:r>
      <w:proofErr w:type="spellEnd"/>
      <w:r w:rsidR="00880BF7">
        <w:t xml:space="preserve">, etc. = </w:t>
      </w:r>
      <w:r w:rsidR="00DD134A">
        <w:t>Carbon intensity value (</w:t>
      </w:r>
      <w:r w:rsidR="00880BF7" w:rsidRPr="00880BF7">
        <w:t>gCO</w:t>
      </w:r>
      <w:r w:rsidR="00880BF7" w:rsidRPr="00BC7151">
        <w:rPr>
          <w:vertAlign w:val="subscript"/>
        </w:rPr>
        <w:t>2</w:t>
      </w:r>
      <w:r w:rsidR="00880BF7" w:rsidRPr="00880BF7">
        <w:t>e/MJ</w:t>
      </w:r>
      <w:r w:rsidR="00DD134A">
        <w:t>)</w:t>
      </w:r>
      <w:r w:rsidR="00880BF7" w:rsidRPr="00880BF7">
        <w:t xml:space="preserve"> for each fuel</w:t>
      </w:r>
      <w:r w:rsidR="00880BF7">
        <w:t>,</w:t>
      </w:r>
      <w:r w:rsidR="00880BF7" w:rsidRPr="00880BF7">
        <w:t xml:space="preserve"> </w:t>
      </w:r>
      <w:r w:rsidR="00880BF7">
        <w:t xml:space="preserve">see </w:t>
      </w:r>
      <w:r w:rsidR="00257E63">
        <w:t>&lt;EMISSIONS SCHEDULE&gt; in &lt;FRONT MATTER SECTION&gt;</w:t>
      </w:r>
      <w:r w:rsidR="00880BF7">
        <w:t xml:space="preserve">. For wood, assume a 50-50 blend of </w:t>
      </w:r>
      <w:r w:rsidR="00880BF7" w:rsidRPr="00880BF7">
        <w:t xml:space="preserve">Wood </w:t>
      </w:r>
      <w:r w:rsidR="00F0605F">
        <w:t>Pellets</w:t>
      </w:r>
      <w:r w:rsidR="00880BF7" w:rsidRPr="00880BF7">
        <w:t xml:space="preserve"> and Firewood</w:t>
      </w:r>
      <w:r w:rsidR="00880BF7">
        <w:t>.</w:t>
      </w:r>
    </w:p>
    <w:p w14:paraId="4B7A18C1" w14:textId="7274CE74" w:rsidR="002203CC" w:rsidRDefault="002203CC" w:rsidP="00813BC9">
      <w:pPr>
        <w:pStyle w:val="Caption"/>
      </w:pPr>
      <w:bookmarkStart w:id="42" w:name="_Ref176258960"/>
      <w:r>
        <w:t xml:space="preserve">Table </w:t>
      </w:r>
      <w:r>
        <w:fldChar w:fldCharType="begin"/>
      </w:r>
      <w:r>
        <w:instrText xml:space="preserve"> SEQ Table \* ARABIC </w:instrText>
      </w:r>
      <w:r>
        <w:fldChar w:fldCharType="separate"/>
      </w:r>
      <w:r w:rsidR="008F724F">
        <w:rPr>
          <w:noProof/>
        </w:rPr>
        <w:t>11</w:t>
      </w:r>
      <w:r>
        <w:fldChar w:fldCharType="end"/>
      </w:r>
      <w:bookmarkEnd w:id="42"/>
      <w:r>
        <w:t xml:space="preserve">. </w:t>
      </w:r>
      <w:r w:rsidRPr="002203CC">
        <w:t>Vermont Primary Heating Fuel Mix</w:t>
      </w:r>
      <w:r w:rsidR="003B3CE2" w:rsidRPr="002203CC">
        <w:t xml:space="preserve">, </w:t>
      </w:r>
      <w:r w:rsidR="00E03AB9">
        <w:t>Residential Buildings</w:t>
      </w:r>
      <w:r w:rsidR="000A3374" w:rsidRPr="006B67BD">
        <w:rPr>
          <w:rStyle w:val="FootnoteReference"/>
          <w:rFonts w:asciiTheme="minorHAnsi" w:hAnsiTheme="minorHAnsi" w:cs="Calibri"/>
        </w:rPr>
        <w:footnoteReference w:id="22"/>
      </w:r>
    </w:p>
    <w:tbl>
      <w:tblPr>
        <w:tblStyle w:val="TableGrid"/>
        <w:tblW w:w="0" w:type="auto"/>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Look w:val="04A0" w:firstRow="1" w:lastRow="0" w:firstColumn="1" w:lastColumn="0" w:noHBand="0" w:noVBand="1"/>
      </w:tblPr>
      <w:tblGrid>
        <w:gridCol w:w="1429"/>
        <w:gridCol w:w="1352"/>
        <w:gridCol w:w="1352"/>
        <w:gridCol w:w="1352"/>
      </w:tblGrid>
      <w:tr w:rsidR="00E03AB9" w14:paraId="01710F11" w14:textId="77777777" w:rsidTr="008F724F">
        <w:trPr>
          <w:cnfStyle w:val="100000000000" w:firstRow="1" w:lastRow="0" w:firstColumn="0" w:lastColumn="0" w:oddVBand="0" w:evenVBand="0" w:oddHBand="0" w:evenHBand="0" w:firstRowFirstColumn="0" w:firstRowLastColumn="0" w:lastRowFirstColumn="0" w:lastRowLastColumn="0"/>
          <w:trHeight w:val="159"/>
        </w:trPr>
        <w:tc>
          <w:tcPr>
            <w:cnfStyle w:val="001000000000" w:firstRow="0" w:lastRow="0" w:firstColumn="1" w:lastColumn="0" w:oddVBand="0" w:evenVBand="0" w:oddHBand="0" w:evenHBand="0" w:firstRowFirstColumn="0" w:firstRowLastColumn="0" w:lastRowFirstColumn="0" w:lastRowLastColumn="0"/>
            <w:tcW w:w="1429" w:type="dxa"/>
            <w:vMerge w:val="restart"/>
            <w:tcBorders>
              <w:top w:val="none" w:sz="0" w:space="0" w:color="auto"/>
              <w:left w:val="none" w:sz="0" w:space="0" w:color="auto"/>
              <w:bottom w:val="none" w:sz="0" w:space="0" w:color="auto"/>
              <w:right w:val="none" w:sz="0" w:space="0" w:color="auto"/>
            </w:tcBorders>
          </w:tcPr>
          <w:p w14:paraId="7696F0E0" w14:textId="77777777" w:rsidR="00E03AB9" w:rsidRPr="00944151" w:rsidRDefault="00E03AB9" w:rsidP="00E03AB9">
            <w:pPr>
              <w:jc w:val="left"/>
              <w:rPr>
                <w:rFonts w:asciiTheme="majorHAnsi" w:hAnsiTheme="majorHAnsi"/>
                <w:color w:val="FFFFFF" w:themeColor="background1"/>
              </w:rPr>
            </w:pPr>
            <w:r>
              <w:rPr>
                <w:rFonts w:asciiTheme="majorHAnsi" w:hAnsiTheme="majorHAnsi"/>
                <w:color w:val="FFFFFF" w:themeColor="background1"/>
              </w:rPr>
              <w:t>Heating Fuel</w:t>
            </w:r>
          </w:p>
        </w:tc>
        <w:tc>
          <w:tcPr>
            <w:tcW w:w="4056" w:type="dxa"/>
            <w:gridSpan w:val="3"/>
            <w:tcBorders>
              <w:bottom w:val="none" w:sz="0" w:space="0" w:color="auto"/>
            </w:tcBorders>
          </w:tcPr>
          <w:p w14:paraId="17A3C95F" w14:textId="77777777" w:rsidR="00E03AB9" w:rsidRPr="00944151" w:rsidRDefault="00E03AB9" w:rsidP="00E03AB9">
            <w:pPr>
              <w:cnfStyle w:val="100000000000" w:firstRow="1" w:lastRow="0" w:firstColumn="0" w:lastColumn="0" w:oddVBand="0" w:evenVBand="0" w:oddHBand="0" w:evenHBand="0" w:firstRowFirstColumn="0" w:firstRowLastColumn="0" w:lastRowFirstColumn="0" w:lastRowLastColumn="0"/>
              <w:rPr>
                <w:rFonts w:asciiTheme="majorHAnsi" w:hAnsiTheme="majorHAnsi"/>
                <w:color w:val="FFFFFF" w:themeColor="background1"/>
              </w:rPr>
            </w:pPr>
            <w:r>
              <w:rPr>
                <w:rFonts w:asciiTheme="majorHAnsi" w:hAnsiTheme="majorHAnsi"/>
                <w:color w:val="FFFFFF" w:themeColor="background1"/>
              </w:rPr>
              <w:t>Building Type</w:t>
            </w:r>
          </w:p>
        </w:tc>
      </w:tr>
      <w:tr w:rsidR="00E03AB9" w14:paraId="3AE9ABD0" w14:textId="77777777" w:rsidTr="008F724F">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1429" w:type="dxa"/>
            <w:vMerge/>
            <w:tcBorders>
              <w:top w:val="none" w:sz="0" w:space="0" w:color="auto"/>
              <w:left w:val="none" w:sz="0" w:space="0" w:color="auto"/>
              <w:bottom w:val="none" w:sz="0" w:space="0" w:color="auto"/>
              <w:right w:val="none" w:sz="0" w:space="0" w:color="auto"/>
            </w:tcBorders>
          </w:tcPr>
          <w:p w14:paraId="695BB293" w14:textId="77777777" w:rsidR="00E03AB9" w:rsidRPr="00944151" w:rsidRDefault="00E03AB9" w:rsidP="00E03AB9">
            <w:pPr>
              <w:rPr>
                <w:rFonts w:asciiTheme="majorHAnsi" w:hAnsiTheme="majorHAnsi"/>
                <w:color w:val="FFFFFF" w:themeColor="background1"/>
              </w:rPr>
            </w:pPr>
          </w:p>
        </w:tc>
        <w:tc>
          <w:tcPr>
            <w:tcW w:w="1352" w:type="dxa"/>
            <w:tcBorders>
              <w:top w:val="none" w:sz="0" w:space="0" w:color="auto"/>
              <w:left w:val="none" w:sz="0" w:space="0" w:color="auto"/>
              <w:bottom w:val="none" w:sz="0" w:space="0" w:color="auto"/>
              <w:right w:val="none" w:sz="0" w:space="0" w:color="auto"/>
            </w:tcBorders>
            <w:shd w:val="clear" w:color="auto" w:fill="053572" w:themeFill="text2"/>
          </w:tcPr>
          <w:p w14:paraId="7DDEA278" w14:textId="77777777" w:rsidR="00E03AB9" w:rsidRPr="00944151" w:rsidRDefault="00E03AB9" w:rsidP="00E03AB9">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olor w:val="FFFFFF" w:themeColor="background1"/>
              </w:rPr>
            </w:pPr>
            <w:r w:rsidRPr="00944151">
              <w:rPr>
                <w:rFonts w:asciiTheme="majorHAnsi" w:hAnsiTheme="majorHAnsi"/>
                <w:color w:val="FFFFFF" w:themeColor="background1"/>
              </w:rPr>
              <w:t>Single Family</w:t>
            </w:r>
          </w:p>
        </w:tc>
        <w:tc>
          <w:tcPr>
            <w:tcW w:w="1352" w:type="dxa"/>
            <w:tcBorders>
              <w:top w:val="none" w:sz="0" w:space="0" w:color="auto"/>
              <w:left w:val="none" w:sz="0" w:space="0" w:color="auto"/>
              <w:bottom w:val="none" w:sz="0" w:space="0" w:color="auto"/>
              <w:right w:val="none" w:sz="0" w:space="0" w:color="auto"/>
            </w:tcBorders>
            <w:shd w:val="clear" w:color="auto" w:fill="053572" w:themeFill="text2"/>
          </w:tcPr>
          <w:p w14:paraId="610BBE91" w14:textId="77777777" w:rsidR="00E03AB9" w:rsidRPr="00944151" w:rsidRDefault="00E03AB9" w:rsidP="00E03AB9">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olor w:val="FFFFFF" w:themeColor="background1"/>
              </w:rPr>
            </w:pPr>
            <w:r w:rsidRPr="00944151">
              <w:rPr>
                <w:rFonts w:asciiTheme="majorHAnsi" w:hAnsiTheme="majorHAnsi"/>
                <w:color w:val="FFFFFF" w:themeColor="background1"/>
              </w:rPr>
              <w:t>Multifamily</w:t>
            </w:r>
          </w:p>
        </w:tc>
        <w:tc>
          <w:tcPr>
            <w:tcW w:w="1352" w:type="dxa"/>
            <w:tcBorders>
              <w:top w:val="none" w:sz="0" w:space="0" w:color="auto"/>
              <w:left w:val="none" w:sz="0" w:space="0" w:color="auto"/>
              <w:bottom w:val="none" w:sz="0" w:space="0" w:color="auto"/>
              <w:right w:val="none" w:sz="0" w:space="0" w:color="auto"/>
            </w:tcBorders>
            <w:shd w:val="clear" w:color="auto" w:fill="053572" w:themeFill="text2"/>
          </w:tcPr>
          <w:p w14:paraId="1A9AACF3" w14:textId="77777777" w:rsidR="00E03AB9" w:rsidRPr="00944151" w:rsidRDefault="00E03AB9" w:rsidP="00E03AB9">
            <w:pPr>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olor w:val="FFFFFF" w:themeColor="background1"/>
              </w:rPr>
            </w:pPr>
            <w:r w:rsidRPr="00944151">
              <w:rPr>
                <w:rFonts w:asciiTheme="majorHAnsi" w:hAnsiTheme="majorHAnsi"/>
                <w:color w:val="FFFFFF" w:themeColor="background1"/>
              </w:rPr>
              <w:t>Unknown</w:t>
            </w:r>
          </w:p>
        </w:tc>
      </w:tr>
      <w:tr w:rsidR="00E03AB9" w14:paraId="1EFC0523" w14:textId="77777777" w:rsidTr="008F724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29" w:type="dxa"/>
            <w:tcBorders>
              <w:top w:val="none" w:sz="0" w:space="0" w:color="auto"/>
              <w:left w:val="none" w:sz="0" w:space="0" w:color="auto"/>
              <w:bottom w:val="none" w:sz="0" w:space="0" w:color="auto"/>
              <w:right w:val="none" w:sz="0" w:space="0" w:color="auto"/>
            </w:tcBorders>
          </w:tcPr>
          <w:p w14:paraId="3171139E" w14:textId="2CF28ADD" w:rsidR="00E03AB9" w:rsidRDefault="00E03AB9" w:rsidP="00E03AB9">
            <w:r>
              <w:t>Fuel oil #2</w:t>
            </w:r>
          </w:p>
        </w:tc>
        <w:tc>
          <w:tcPr>
            <w:tcW w:w="1352" w:type="dxa"/>
            <w:tcBorders>
              <w:top w:val="none" w:sz="0" w:space="0" w:color="auto"/>
              <w:left w:val="none" w:sz="0" w:space="0" w:color="auto"/>
              <w:bottom w:val="none" w:sz="0" w:space="0" w:color="auto"/>
              <w:right w:val="none" w:sz="0" w:space="0" w:color="auto"/>
            </w:tcBorders>
          </w:tcPr>
          <w:p w14:paraId="5A0A720F" w14:textId="77777777" w:rsidR="00E03AB9" w:rsidRDefault="00E03AB9" w:rsidP="00954C03">
            <w:pPr>
              <w:jc w:val="right"/>
              <w:cnfStyle w:val="000000010000" w:firstRow="0" w:lastRow="0" w:firstColumn="0" w:lastColumn="0" w:oddVBand="0" w:evenVBand="0" w:oddHBand="0" w:evenHBand="1" w:firstRowFirstColumn="0" w:firstRowLastColumn="0" w:lastRowFirstColumn="0" w:lastRowLastColumn="0"/>
            </w:pPr>
            <w:r w:rsidRPr="00CF1C03">
              <w:t>45%</w:t>
            </w:r>
          </w:p>
        </w:tc>
        <w:tc>
          <w:tcPr>
            <w:tcW w:w="1352" w:type="dxa"/>
            <w:tcBorders>
              <w:top w:val="none" w:sz="0" w:space="0" w:color="auto"/>
              <w:left w:val="none" w:sz="0" w:space="0" w:color="auto"/>
              <w:bottom w:val="none" w:sz="0" w:space="0" w:color="auto"/>
              <w:right w:val="none" w:sz="0" w:space="0" w:color="auto"/>
            </w:tcBorders>
          </w:tcPr>
          <w:p w14:paraId="5DC6853C" w14:textId="77777777" w:rsidR="00E03AB9" w:rsidRDefault="00E03AB9" w:rsidP="00954C03">
            <w:pPr>
              <w:jc w:val="right"/>
              <w:cnfStyle w:val="000000010000" w:firstRow="0" w:lastRow="0" w:firstColumn="0" w:lastColumn="0" w:oddVBand="0" w:evenVBand="0" w:oddHBand="0" w:evenHBand="1" w:firstRowFirstColumn="0" w:firstRowLastColumn="0" w:lastRowFirstColumn="0" w:lastRowLastColumn="0"/>
            </w:pPr>
            <w:r w:rsidRPr="00CF1C03">
              <w:t>5%</w:t>
            </w:r>
          </w:p>
        </w:tc>
        <w:tc>
          <w:tcPr>
            <w:tcW w:w="1352" w:type="dxa"/>
            <w:tcBorders>
              <w:top w:val="none" w:sz="0" w:space="0" w:color="auto"/>
              <w:left w:val="none" w:sz="0" w:space="0" w:color="auto"/>
              <w:bottom w:val="none" w:sz="0" w:space="0" w:color="auto"/>
              <w:right w:val="none" w:sz="0" w:space="0" w:color="auto"/>
            </w:tcBorders>
          </w:tcPr>
          <w:p w14:paraId="23F23C32" w14:textId="77777777" w:rsidR="00E03AB9" w:rsidRDefault="00E03AB9" w:rsidP="00954C03">
            <w:pPr>
              <w:jc w:val="right"/>
              <w:cnfStyle w:val="000000010000" w:firstRow="0" w:lastRow="0" w:firstColumn="0" w:lastColumn="0" w:oddVBand="0" w:evenVBand="0" w:oddHBand="0" w:evenHBand="1" w:firstRowFirstColumn="0" w:firstRowLastColumn="0" w:lastRowFirstColumn="0" w:lastRowLastColumn="0"/>
            </w:pPr>
            <w:r w:rsidRPr="00CF1C03">
              <w:t>41%</w:t>
            </w:r>
          </w:p>
        </w:tc>
      </w:tr>
      <w:tr w:rsidR="00E03AB9" w14:paraId="6C545879" w14:textId="77777777" w:rsidTr="008F72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29" w:type="dxa"/>
            <w:tcBorders>
              <w:top w:val="none" w:sz="0" w:space="0" w:color="auto"/>
              <w:left w:val="none" w:sz="0" w:space="0" w:color="auto"/>
              <w:bottom w:val="none" w:sz="0" w:space="0" w:color="auto"/>
              <w:right w:val="none" w:sz="0" w:space="0" w:color="auto"/>
            </w:tcBorders>
          </w:tcPr>
          <w:p w14:paraId="455DC151" w14:textId="77777777" w:rsidR="00E03AB9" w:rsidRDefault="00E03AB9" w:rsidP="00E03AB9">
            <w:r>
              <w:t>Propane</w:t>
            </w:r>
          </w:p>
        </w:tc>
        <w:tc>
          <w:tcPr>
            <w:tcW w:w="1352" w:type="dxa"/>
            <w:tcBorders>
              <w:top w:val="none" w:sz="0" w:space="0" w:color="auto"/>
              <w:left w:val="none" w:sz="0" w:space="0" w:color="auto"/>
              <w:bottom w:val="none" w:sz="0" w:space="0" w:color="auto"/>
              <w:right w:val="none" w:sz="0" w:space="0" w:color="auto"/>
            </w:tcBorders>
          </w:tcPr>
          <w:p w14:paraId="38CE23B5" w14:textId="77777777" w:rsidR="00E03AB9" w:rsidRDefault="00E03AB9" w:rsidP="00954C03">
            <w:pPr>
              <w:jc w:val="right"/>
              <w:cnfStyle w:val="000000100000" w:firstRow="0" w:lastRow="0" w:firstColumn="0" w:lastColumn="0" w:oddVBand="0" w:evenVBand="0" w:oddHBand="1" w:evenHBand="0" w:firstRowFirstColumn="0" w:firstRowLastColumn="0" w:lastRowFirstColumn="0" w:lastRowLastColumn="0"/>
            </w:pPr>
            <w:r w:rsidRPr="00CF1C03">
              <w:t>17%</w:t>
            </w:r>
          </w:p>
        </w:tc>
        <w:tc>
          <w:tcPr>
            <w:tcW w:w="1352" w:type="dxa"/>
            <w:tcBorders>
              <w:top w:val="none" w:sz="0" w:space="0" w:color="auto"/>
              <w:left w:val="none" w:sz="0" w:space="0" w:color="auto"/>
              <w:bottom w:val="none" w:sz="0" w:space="0" w:color="auto"/>
              <w:right w:val="none" w:sz="0" w:space="0" w:color="auto"/>
            </w:tcBorders>
          </w:tcPr>
          <w:p w14:paraId="573CA414" w14:textId="77777777" w:rsidR="00E03AB9" w:rsidRDefault="00E03AB9" w:rsidP="00954C03">
            <w:pPr>
              <w:jc w:val="right"/>
              <w:cnfStyle w:val="000000100000" w:firstRow="0" w:lastRow="0" w:firstColumn="0" w:lastColumn="0" w:oddVBand="0" w:evenVBand="0" w:oddHBand="1" w:evenHBand="0" w:firstRowFirstColumn="0" w:firstRowLastColumn="0" w:lastRowFirstColumn="0" w:lastRowLastColumn="0"/>
            </w:pPr>
            <w:r w:rsidRPr="00CF1C03">
              <w:t>5%</w:t>
            </w:r>
          </w:p>
        </w:tc>
        <w:tc>
          <w:tcPr>
            <w:tcW w:w="1352" w:type="dxa"/>
            <w:tcBorders>
              <w:top w:val="none" w:sz="0" w:space="0" w:color="auto"/>
              <w:left w:val="none" w:sz="0" w:space="0" w:color="auto"/>
              <w:bottom w:val="none" w:sz="0" w:space="0" w:color="auto"/>
              <w:right w:val="none" w:sz="0" w:space="0" w:color="auto"/>
            </w:tcBorders>
          </w:tcPr>
          <w:p w14:paraId="4C6F7E7D" w14:textId="77777777" w:rsidR="00E03AB9" w:rsidRDefault="00E03AB9" w:rsidP="00954C03">
            <w:pPr>
              <w:jc w:val="right"/>
              <w:cnfStyle w:val="000000100000" w:firstRow="0" w:lastRow="0" w:firstColumn="0" w:lastColumn="0" w:oddVBand="0" w:evenVBand="0" w:oddHBand="1" w:evenHBand="0" w:firstRowFirstColumn="0" w:firstRowLastColumn="0" w:lastRowFirstColumn="0" w:lastRowLastColumn="0"/>
            </w:pPr>
            <w:r w:rsidRPr="00CF1C03">
              <w:t>16%</w:t>
            </w:r>
          </w:p>
        </w:tc>
      </w:tr>
      <w:tr w:rsidR="00E03AB9" w14:paraId="5AC27DCF" w14:textId="77777777" w:rsidTr="008F724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29" w:type="dxa"/>
            <w:tcBorders>
              <w:top w:val="none" w:sz="0" w:space="0" w:color="auto"/>
              <w:left w:val="none" w:sz="0" w:space="0" w:color="auto"/>
              <w:bottom w:val="none" w:sz="0" w:space="0" w:color="auto"/>
              <w:right w:val="none" w:sz="0" w:space="0" w:color="auto"/>
            </w:tcBorders>
          </w:tcPr>
          <w:p w14:paraId="7AD31CB4" w14:textId="236C3E1A" w:rsidR="00E03AB9" w:rsidRDefault="00E03AB9" w:rsidP="00E03AB9">
            <w:r>
              <w:lastRenderedPageBreak/>
              <w:t>Natural gas</w:t>
            </w:r>
          </w:p>
        </w:tc>
        <w:tc>
          <w:tcPr>
            <w:tcW w:w="1352" w:type="dxa"/>
            <w:tcBorders>
              <w:top w:val="none" w:sz="0" w:space="0" w:color="auto"/>
              <w:left w:val="none" w:sz="0" w:space="0" w:color="auto"/>
              <w:bottom w:val="none" w:sz="0" w:space="0" w:color="auto"/>
              <w:right w:val="none" w:sz="0" w:space="0" w:color="auto"/>
            </w:tcBorders>
          </w:tcPr>
          <w:p w14:paraId="1001243F" w14:textId="77777777" w:rsidR="00E03AB9" w:rsidRDefault="00E03AB9" w:rsidP="00954C03">
            <w:pPr>
              <w:jc w:val="right"/>
              <w:cnfStyle w:val="000000010000" w:firstRow="0" w:lastRow="0" w:firstColumn="0" w:lastColumn="0" w:oddVBand="0" w:evenVBand="0" w:oddHBand="0" w:evenHBand="1" w:firstRowFirstColumn="0" w:firstRowLastColumn="0" w:lastRowFirstColumn="0" w:lastRowLastColumn="0"/>
            </w:pPr>
            <w:r w:rsidRPr="00CF1C03">
              <w:t>23%</w:t>
            </w:r>
          </w:p>
        </w:tc>
        <w:tc>
          <w:tcPr>
            <w:tcW w:w="1352" w:type="dxa"/>
            <w:tcBorders>
              <w:top w:val="none" w:sz="0" w:space="0" w:color="auto"/>
              <w:left w:val="none" w:sz="0" w:space="0" w:color="auto"/>
              <w:bottom w:val="none" w:sz="0" w:space="0" w:color="auto"/>
              <w:right w:val="none" w:sz="0" w:space="0" w:color="auto"/>
            </w:tcBorders>
          </w:tcPr>
          <w:p w14:paraId="16D84C4C" w14:textId="77777777" w:rsidR="00E03AB9" w:rsidRDefault="00E03AB9" w:rsidP="00954C03">
            <w:pPr>
              <w:jc w:val="right"/>
              <w:cnfStyle w:val="000000010000" w:firstRow="0" w:lastRow="0" w:firstColumn="0" w:lastColumn="0" w:oddVBand="0" w:evenVBand="0" w:oddHBand="0" w:evenHBand="1" w:firstRowFirstColumn="0" w:firstRowLastColumn="0" w:lastRowFirstColumn="0" w:lastRowLastColumn="0"/>
            </w:pPr>
            <w:r w:rsidRPr="00CF1C03">
              <w:t>66%</w:t>
            </w:r>
          </w:p>
        </w:tc>
        <w:tc>
          <w:tcPr>
            <w:tcW w:w="1352" w:type="dxa"/>
            <w:tcBorders>
              <w:top w:val="none" w:sz="0" w:space="0" w:color="auto"/>
              <w:left w:val="none" w:sz="0" w:space="0" w:color="auto"/>
              <w:bottom w:val="none" w:sz="0" w:space="0" w:color="auto"/>
              <w:right w:val="none" w:sz="0" w:space="0" w:color="auto"/>
            </w:tcBorders>
          </w:tcPr>
          <w:p w14:paraId="02F3B70F" w14:textId="77777777" w:rsidR="00E03AB9" w:rsidRDefault="00E03AB9" w:rsidP="00954C03">
            <w:pPr>
              <w:jc w:val="right"/>
              <w:cnfStyle w:val="000000010000" w:firstRow="0" w:lastRow="0" w:firstColumn="0" w:lastColumn="0" w:oddVBand="0" w:evenVBand="0" w:oddHBand="0" w:evenHBand="1" w:firstRowFirstColumn="0" w:firstRowLastColumn="0" w:lastRowFirstColumn="0" w:lastRowLastColumn="0"/>
            </w:pPr>
            <w:r w:rsidRPr="00CF1C03">
              <w:t>27%</w:t>
            </w:r>
          </w:p>
        </w:tc>
      </w:tr>
      <w:tr w:rsidR="00E03AB9" w14:paraId="795F5BFA" w14:textId="77777777" w:rsidTr="008F72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29" w:type="dxa"/>
            <w:tcBorders>
              <w:top w:val="none" w:sz="0" w:space="0" w:color="auto"/>
              <w:left w:val="none" w:sz="0" w:space="0" w:color="auto"/>
              <w:bottom w:val="none" w:sz="0" w:space="0" w:color="auto"/>
              <w:right w:val="none" w:sz="0" w:space="0" w:color="auto"/>
            </w:tcBorders>
          </w:tcPr>
          <w:p w14:paraId="7261535A" w14:textId="77777777" w:rsidR="00E03AB9" w:rsidRDefault="00E03AB9" w:rsidP="00E03AB9">
            <w:r>
              <w:t>Electricity</w:t>
            </w:r>
          </w:p>
        </w:tc>
        <w:tc>
          <w:tcPr>
            <w:tcW w:w="1352" w:type="dxa"/>
            <w:tcBorders>
              <w:top w:val="none" w:sz="0" w:space="0" w:color="auto"/>
              <w:left w:val="none" w:sz="0" w:space="0" w:color="auto"/>
              <w:bottom w:val="none" w:sz="0" w:space="0" w:color="auto"/>
              <w:right w:val="none" w:sz="0" w:space="0" w:color="auto"/>
            </w:tcBorders>
          </w:tcPr>
          <w:p w14:paraId="1AC79CC8" w14:textId="77777777" w:rsidR="00E03AB9" w:rsidRDefault="00E03AB9" w:rsidP="00954C03">
            <w:pPr>
              <w:jc w:val="right"/>
              <w:cnfStyle w:val="000000100000" w:firstRow="0" w:lastRow="0" w:firstColumn="0" w:lastColumn="0" w:oddVBand="0" w:evenVBand="0" w:oddHBand="1" w:evenHBand="0" w:firstRowFirstColumn="0" w:firstRowLastColumn="0" w:lastRowFirstColumn="0" w:lastRowLastColumn="0"/>
            </w:pPr>
            <w:r w:rsidRPr="00CF1C03">
              <w:t>6%</w:t>
            </w:r>
          </w:p>
        </w:tc>
        <w:tc>
          <w:tcPr>
            <w:tcW w:w="1352" w:type="dxa"/>
            <w:tcBorders>
              <w:top w:val="none" w:sz="0" w:space="0" w:color="auto"/>
              <w:left w:val="none" w:sz="0" w:space="0" w:color="auto"/>
              <w:bottom w:val="none" w:sz="0" w:space="0" w:color="auto"/>
              <w:right w:val="none" w:sz="0" w:space="0" w:color="auto"/>
            </w:tcBorders>
          </w:tcPr>
          <w:p w14:paraId="76D66C82" w14:textId="77777777" w:rsidR="00E03AB9" w:rsidRDefault="00E03AB9" w:rsidP="00954C03">
            <w:pPr>
              <w:jc w:val="right"/>
              <w:cnfStyle w:val="000000100000" w:firstRow="0" w:lastRow="0" w:firstColumn="0" w:lastColumn="0" w:oddVBand="0" w:evenVBand="0" w:oddHBand="1" w:evenHBand="0" w:firstRowFirstColumn="0" w:firstRowLastColumn="0" w:lastRowFirstColumn="0" w:lastRowLastColumn="0"/>
            </w:pPr>
            <w:r w:rsidRPr="00CF1C03">
              <w:t>23%</w:t>
            </w:r>
          </w:p>
        </w:tc>
        <w:tc>
          <w:tcPr>
            <w:tcW w:w="1352" w:type="dxa"/>
            <w:tcBorders>
              <w:top w:val="none" w:sz="0" w:space="0" w:color="auto"/>
              <w:left w:val="none" w:sz="0" w:space="0" w:color="auto"/>
              <w:bottom w:val="none" w:sz="0" w:space="0" w:color="auto"/>
              <w:right w:val="none" w:sz="0" w:space="0" w:color="auto"/>
            </w:tcBorders>
          </w:tcPr>
          <w:p w14:paraId="1B0DBED9" w14:textId="77777777" w:rsidR="00E03AB9" w:rsidRDefault="00E03AB9" w:rsidP="00954C03">
            <w:pPr>
              <w:jc w:val="right"/>
              <w:cnfStyle w:val="000000100000" w:firstRow="0" w:lastRow="0" w:firstColumn="0" w:lastColumn="0" w:oddVBand="0" w:evenVBand="0" w:oddHBand="1" w:evenHBand="0" w:firstRowFirstColumn="0" w:firstRowLastColumn="0" w:lastRowFirstColumn="0" w:lastRowLastColumn="0"/>
            </w:pPr>
            <w:r w:rsidRPr="00CF1C03">
              <w:t>8%</w:t>
            </w:r>
          </w:p>
        </w:tc>
      </w:tr>
      <w:tr w:rsidR="00E03AB9" w14:paraId="19C4C780" w14:textId="77777777" w:rsidTr="008F724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29" w:type="dxa"/>
            <w:tcBorders>
              <w:top w:val="none" w:sz="0" w:space="0" w:color="auto"/>
              <w:left w:val="none" w:sz="0" w:space="0" w:color="auto"/>
              <w:bottom w:val="none" w:sz="0" w:space="0" w:color="auto"/>
              <w:right w:val="none" w:sz="0" w:space="0" w:color="auto"/>
            </w:tcBorders>
          </w:tcPr>
          <w:p w14:paraId="5A587B28" w14:textId="77777777" w:rsidR="00E03AB9" w:rsidRDefault="00E03AB9" w:rsidP="00E03AB9">
            <w:r>
              <w:t>Wood</w:t>
            </w:r>
          </w:p>
        </w:tc>
        <w:tc>
          <w:tcPr>
            <w:tcW w:w="1352" w:type="dxa"/>
            <w:tcBorders>
              <w:top w:val="none" w:sz="0" w:space="0" w:color="auto"/>
              <w:left w:val="none" w:sz="0" w:space="0" w:color="auto"/>
              <w:bottom w:val="none" w:sz="0" w:space="0" w:color="auto"/>
              <w:right w:val="none" w:sz="0" w:space="0" w:color="auto"/>
            </w:tcBorders>
          </w:tcPr>
          <w:p w14:paraId="0F7998C2" w14:textId="77777777" w:rsidR="00E03AB9" w:rsidRDefault="00E03AB9" w:rsidP="00954C03">
            <w:pPr>
              <w:jc w:val="right"/>
              <w:cnfStyle w:val="000000010000" w:firstRow="0" w:lastRow="0" w:firstColumn="0" w:lastColumn="0" w:oddVBand="0" w:evenVBand="0" w:oddHBand="0" w:evenHBand="1" w:firstRowFirstColumn="0" w:firstRowLastColumn="0" w:lastRowFirstColumn="0" w:lastRowLastColumn="0"/>
            </w:pPr>
            <w:r w:rsidRPr="00CF1C03">
              <w:t>8%</w:t>
            </w:r>
          </w:p>
        </w:tc>
        <w:tc>
          <w:tcPr>
            <w:tcW w:w="1352" w:type="dxa"/>
            <w:tcBorders>
              <w:top w:val="none" w:sz="0" w:space="0" w:color="auto"/>
              <w:left w:val="none" w:sz="0" w:space="0" w:color="auto"/>
              <w:bottom w:val="none" w:sz="0" w:space="0" w:color="auto"/>
              <w:right w:val="none" w:sz="0" w:space="0" w:color="auto"/>
            </w:tcBorders>
          </w:tcPr>
          <w:p w14:paraId="46E5FB2E" w14:textId="77777777" w:rsidR="00E03AB9" w:rsidRDefault="00E03AB9" w:rsidP="00954C03">
            <w:pPr>
              <w:jc w:val="right"/>
              <w:cnfStyle w:val="000000010000" w:firstRow="0" w:lastRow="0" w:firstColumn="0" w:lastColumn="0" w:oddVBand="0" w:evenVBand="0" w:oddHBand="0" w:evenHBand="1" w:firstRowFirstColumn="0" w:firstRowLastColumn="0" w:lastRowFirstColumn="0" w:lastRowLastColumn="0"/>
            </w:pPr>
            <w:r w:rsidRPr="00CF1C03">
              <w:t>1%</w:t>
            </w:r>
          </w:p>
        </w:tc>
        <w:tc>
          <w:tcPr>
            <w:tcW w:w="1352" w:type="dxa"/>
            <w:tcBorders>
              <w:top w:val="none" w:sz="0" w:space="0" w:color="auto"/>
              <w:left w:val="none" w:sz="0" w:space="0" w:color="auto"/>
              <w:bottom w:val="none" w:sz="0" w:space="0" w:color="auto"/>
              <w:right w:val="none" w:sz="0" w:space="0" w:color="auto"/>
            </w:tcBorders>
          </w:tcPr>
          <w:p w14:paraId="7FE1F018" w14:textId="77777777" w:rsidR="00E03AB9" w:rsidRDefault="00E03AB9" w:rsidP="00954C03">
            <w:pPr>
              <w:jc w:val="right"/>
              <w:cnfStyle w:val="000000010000" w:firstRow="0" w:lastRow="0" w:firstColumn="0" w:lastColumn="0" w:oddVBand="0" w:evenVBand="0" w:oddHBand="0" w:evenHBand="1" w:firstRowFirstColumn="0" w:firstRowLastColumn="0" w:lastRowFirstColumn="0" w:lastRowLastColumn="0"/>
            </w:pPr>
            <w:r w:rsidRPr="00CF1C03">
              <w:t>7%</w:t>
            </w:r>
          </w:p>
        </w:tc>
      </w:tr>
    </w:tbl>
    <w:p w14:paraId="1DAAC6EC" w14:textId="0418E3D2" w:rsidR="002203CC" w:rsidRDefault="00A86DE3" w:rsidP="00F0605F">
      <w:pPr>
        <w:spacing w:before="100" w:beforeAutospacing="1"/>
        <w:ind w:left="1440"/>
      </w:pPr>
      <w:proofErr w:type="spellStart"/>
      <w:r>
        <w:t>CI</w:t>
      </w:r>
      <w:r w:rsidR="002203CC" w:rsidRPr="00AF1550">
        <w:rPr>
          <w:vertAlign w:val="subscript"/>
        </w:rPr>
        <w:t>prop</w:t>
      </w:r>
      <w:proofErr w:type="spellEnd"/>
      <w:r w:rsidR="002203CC" w:rsidRPr="00AF1550">
        <w:t xml:space="preserve"> = </w:t>
      </w:r>
      <w:r w:rsidR="00E03AB9">
        <w:t>Carbon intensity value for firewood</w:t>
      </w:r>
      <w:r w:rsidR="002B2C69">
        <w:t xml:space="preserve"> </w:t>
      </w:r>
      <w:r w:rsidR="00DD134A">
        <w:t>(</w:t>
      </w:r>
      <w:r w:rsidR="002B2C69">
        <w:t>gCO</w:t>
      </w:r>
      <w:r w:rsidR="002B2C69" w:rsidRPr="0041296A">
        <w:rPr>
          <w:vertAlign w:val="subscript"/>
        </w:rPr>
        <w:t>2</w:t>
      </w:r>
      <w:r w:rsidR="002B2C69" w:rsidRPr="00A45E83">
        <w:t>e</w:t>
      </w:r>
      <w:r w:rsidR="002B2C69">
        <w:t>/MJ</w:t>
      </w:r>
      <w:r w:rsidR="00DD134A">
        <w:t>)</w:t>
      </w:r>
      <w:r w:rsidR="00DD134A" w:rsidRPr="00AF1550">
        <w:t xml:space="preserve">. </w:t>
      </w:r>
      <w:r w:rsidR="002B2C69">
        <w:t xml:space="preserve">Varies by year; see </w:t>
      </w:r>
      <w:r w:rsidR="00257E63">
        <w:t>&lt;EMISSIONS SCHEDULE&gt; in &lt;FRONT MATTER SECTION&gt;</w:t>
      </w:r>
      <w:r w:rsidR="002B2C69">
        <w:t>.</w:t>
      </w:r>
    </w:p>
    <w:p w14:paraId="3B9E1816" w14:textId="72B5FD14" w:rsidR="002203CC" w:rsidRDefault="002203CC" w:rsidP="002203CC">
      <w:pPr>
        <w:ind w:left="1440"/>
      </w:pPr>
      <w:r w:rsidRPr="007313F2">
        <w:t>Ε</w:t>
      </w:r>
      <w:r>
        <w:t xml:space="preserve"> = The total energy of the </w:t>
      </w:r>
      <w:r w:rsidR="00E03AB9">
        <w:t>firewood</w:t>
      </w:r>
      <w:r>
        <w:t xml:space="preserve"> delivered to the end-user in units of megajoules (MJ).</w:t>
      </w:r>
    </w:p>
    <w:p w14:paraId="3B0EE15A" w14:textId="75E32DA1" w:rsidR="002203CC" w:rsidRDefault="002203CC" w:rsidP="002203CC">
      <w:pPr>
        <w:pStyle w:val="Heading5"/>
        <w:ind w:firstLine="720"/>
      </w:pPr>
      <w:r w:rsidRPr="00AF1550">
        <w:t xml:space="preserve">Energy </w:t>
      </w:r>
      <w:r w:rsidR="003309E0">
        <w:t>I</w:t>
      </w:r>
      <w:r w:rsidR="003309E0" w:rsidRPr="00AF1550">
        <w:t xml:space="preserve">mpacts </w:t>
      </w:r>
      <w:r w:rsidRPr="00AF1550">
        <w:t>Algorithms</w:t>
      </w:r>
    </w:p>
    <w:p w14:paraId="44E81FF9" w14:textId="77777777" w:rsidR="002203CC" w:rsidRDefault="002203CC" w:rsidP="002203CC">
      <w:r>
        <w:tab/>
        <w:t xml:space="preserve">E = </w:t>
      </w:r>
      <m:oMath>
        <m:d>
          <m:dPr>
            <m:ctrlPr>
              <w:rPr>
                <w:rFonts w:ascii="Cambria Math" w:hAnsi="Cambria Math"/>
                <w:i/>
              </w:rPr>
            </m:ctrlPr>
          </m:dPr>
          <m:e>
            <m:sSub>
              <m:sSubPr>
                <m:ctrlPr>
                  <w:rPr>
                    <w:rFonts w:ascii="Cambria Math" w:hAnsi="Cambria Math"/>
                    <w:i/>
                  </w:rPr>
                </m:ctrlPr>
              </m:sSubPr>
              <m:e>
                <m:r>
                  <w:rPr>
                    <w:rFonts w:ascii="Cambria Math" w:hAnsi="Cambria Math"/>
                  </w:rPr>
                  <m:t>W</m:t>
                </m:r>
              </m:e>
              <m:sub>
                <m:r>
                  <w:rPr>
                    <w:rFonts w:ascii="Cambria Math" w:hAnsi="Cambria Math"/>
                  </w:rPr>
                  <m:t>WP</m:t>
                </m:r>
              </m:sub>
            </m:sSub>
            <m:r>
              <w:rPr>
                <w:rFonts w:ascii="Cambria Math" w:hAnsi="Cambria Math"/>
              </w:rPr>
              <m:t>×</m:t>
            </m:r>
            <m:sSub>
              <m:sSubPr>
                <m:ctrlPr>
                  <w:rPr>
                    <w:rFonts w:ascii="Cambria Math" w:hAnsi="Cambria Math"/>
                    <w:i/>
                  </w:rPr>
                </m:ctrlPr>
              </m:sSubPr>
              <m:e>
                <m:r>
                  <w:rPr>
                    <w:rFonts w:ascii="Cambria Math" w:hAnsi="Cambria Math"/>
                  </w:rPr>
                  <m:t>LHV</m:t>
                </m:r>
              </m:e>
              <m:sub>
                <m:r>
                  <w:rPr>
                    <w:rFonts w:ascii="Cambria Math" w:hAnsi="Cambria Math"/>
                  </w:rPr>
                  <m:t>WP</m:t>
                </m:r>
              </m:sub>
            </m:sSub>
          </m:e>
        </m:d>
      </m:oMath>
    </w:p>
    <w:p w14:paraId="181F6AFA" w14:textId="43A00F9B" w:rsidR="002203CC" w:rsidRDefault="002203CC" w:rsidP="002203CC">
      <w:pPr>
        <w:rPr>
          <w:b/>
          <w:bCs/>
        </w:rPr>
      </w:pPr>
      <w:r w:rsidRPr="00D035ED">
        <w:rPr>
          <w:b/>
          <w:bCs/>
        </w:rPr>
        <w:tab/>
        <w:t xml:space="preserve">Input </w:t>
      </w:r>
      <w:r>
        <w:rPr>
          <w:b/>
          <w:bCs/>
        </w:rPr>
        <w:t>V</w:t>
      </w:r>
      <w:r w:rsidRPr="00D035ED">
        <w:rPr>
          <w:b/>
          <w:bCs/>
        </w:rPr>
        <w:t xml:space="preserve">ariable </w:t>
      </w:r>
      <w:r>
        <w:rPr>
          <w:b/>
          <w:bCs/>
        </w:rPr>
        <w:t>D</w:t>
      </w:r>
      <w:r w:rsidRPr="00D035ED">
        <w:rPr>
          <w:b/>
          <w:bCs/>
        </w:rPr>
        <w:t>efinitions</w:t>
      </w:r>
    </w:p>
    <w:p w14:paraId="0857B24B" w14:textId="737938CE" w:rsidR="002203CC" w:rsidRDefault="002203CC" w:rsidP="002203CC">
      <w:pPr>
        <w:ind w:left="1440"/>
      </w:pPr>
      <w:r>
        <w:t>W</w:t>
      </w:r>
      <w:r>
        <w:rPr>
          <w:vertAlign w:val="subscript"/>
        </w:rPr>
        <w:t>WP</w:t>
      </w:r>
      <w:r>
        <w:t xml:space="preserve"> = The total weight of</w:t>
      </w:r>
      <w:r w:rsidR="00E03AB9">
        <w:t xml:space="preserve"> firewood</w:t>
      </w:r>
      <w:r>
        <w:t xml:space="preserve"> that is delivered to the end-user in short tons. </w:t>
      </w:r>
    </w:p>
    <w:p w14:paraId="275FA6F0" w14:textId="35ACBA81" w:rsidR="002203CC" w:rsidRDefault="002203CC" w:rsidP="002203CC">
      <w:pPr>
        <w:ind w:left="1440"/>
      </w:pPr>
      <w:r>
        <w:t>LHV</w:t>
      </w:r>
      <w:r>
        <w:rPr>
          <w:vertAlign w:val="subscript"/>
        </w:rPr>
        <w:t>WP</w:t>
      </w:r>
      <w:r>
        <w:t xml:space="preserve"> = Lower Heating Value of </w:t>
      </w:r>
      <w:r w:rsidR="00E03AB9">
        <w:t>firewood</w:t>
      </w:r>
      <w:r>
        <w:t xml:space="preserve"> in units of MJ/short ton, </w:t>
      </w:r>
      <w:r w:rsidRPr="005A62C7">
        <w:t>16</w:t>
      </w:r>
      <w:r>
        <w:t>,</w:t>
      </w:r>
      <w:r w:rsidRPr="005A62C7">
        <w:t>533.25</w:t>
      </w:r>
      <w:r>
        <w:t xml:space="preserve"> MJ/short ton.</w:t>
      </w:r>
      <w:r>
        <w:rPr>
          <w:rStyle w:val="FootnoteReference"/>
        </w:rPr>
        <w:footnoteReference w:id="23"/>
      </w:r>
    </w:p>
    <w:p w14:paraId="1B9407CD" w14:textId="77777777" w:rsidR="002203CC" w:rsidRDefault="002203CC" w:rsidP="00A16868">
      <w:pPr>
        <w:keepNext/>
        <w:keepLines/>
        <w:ind w:firstLine="720"/>
        <w:rPr>
          <w:b/>
          <w:bCs/>
        </w:rPr>
      </w:pPr>
      <w:r w:rsidRPr="003643D2">
        <w:rPr>
          <w:b/>
          <w:bCs/>
        </w:rPr>
        <w:t>Measure Life</w:t>
      </w:r>
    </w:p>
    <w:p w14:paraId="18FC094F" w14:textId="02D99A94" w:rsidR="002203CC" w:rsidRDefault="00E03AB9" w:rsidP="002203CC">
      <w:pPr>
        <w:ind w:left="1440"/>
      </w:pPr>
      <w:r>
        <w:t>Firewood is</w:t>
      </w:r>
      <w:r w:rsidR="002203CC">
        <w:t xml:space="preserve"> not subject to a measure life, </w:t>
      </w:r>
      <w:r>
        <w:t>as the measure characterization is based on the weight of firewood that is delivered to an end-user and used in the thermal sector.</w:t>
      </w:r>
    </w:p>
    <w:p w14:paraId="17FDDA44" w14:textId="77777777" w:rsidR="002203CC" w:rsidRDefault="002203CC" w:rsidP="002203CC">
      <w:pPr>
        <w:ind w:firstLine="720"/>
        <w:rPr>
          <w:b/>
          <w:bCs/>
        </w:rPr>
      </w:pPr>
      <w:r w:rsidRPr="003643D2">
        <w:rPr>
          <w:b/>
          <w:bCs/>
        </w:rPr>
        <w:t>Measure Cost</w:t>
      </w:r>
    </w:p>
    <w:p w14:paraId="00AB2FE2" w14:textId="15D14511" w:rsidR="002203CC" w:rsidRPr="00C9187F" w:rsidRDefault="002203CC" w:rsidP="002203CC">
      <w:pPr>
        <w:ind w:left="1440"/>
      </w:pPr>
      <w:r>
        <w:t xml:space="preserve">The incremental cost of </w:t>
      </w:r>
      <w:r w:rsidR="00E03AB9">
        <w:t>firewood as compared to</w:t>
      </w:r>
      <w:r>
        <w:t xml:space="preserve"> the baseline fuel. Use actual costs.</w:t>
      </w:r>
    </w:p>
    <w:p w14:paraId="4258A806" w14:textId="77777777" w:rsidR="002203CC" w:rsidRDefault="002203CC" w:rsidP="002203CC">
      <w:pPr>
        <w:pStyle w:val="Heading4"/>
      </w:pPr>
      <w:r>
        <w:t>Program Data Tracking Recommendations</w:t>
      </w:r>
    </w:p>
    <w:p w14:paraId="5E32CD7D" w14:textId="77777777" w:rsidR="002203CC" w:rsidRDefault="002203CC" w:rsidP="00A16868">
      <w:r>
        <w:t>The key input variables for this measure are the following:</w:t>
      </w:r>
    </w:p>
    <w:p w14:paraId="5E021B83" w14:textId="56000D2C" w:rsidR="002203CC" w:rsidRDefault="002203CC" w:rsidP="00A16868">
      <w:pPr>
        <w:pStyle w:val="ListBullet"/>
      </w:pPr>
      <w:r>
        <w:t>Weight of delivered</w:t>
      </w:r>
      <w:r w:rsidR="00E03AB9">
        <w:t xml:space="preserve"> firewood</w:t>
      </w:r>
      <w:r>
        <w:t xml:space="preserve"> to the end user</w:t>
      </w:r>
    </w:p>
    <w:p w14:paraId="11E64809" w14:textId="2F3E71D7" w:rsidR="002203CC" w:rsidRDefault="002203CC" w:rsidP="00A16868">
      <w:pPr>
        <w:pStyle w:val="ListBullet"/>
      </w:pPr>
      <w:r>
        <w:t xml:space="preserve">The fuel that is displaced by the </w:t>
      </w:r>
      <w:r w:rsidR="00E03AB9">
        <w:t>firewood</w:t>
      </w:r>
    </w:p>
    <w:p w14:paraId="4A6633C5" w14:textId="77777777" w:rsidR="002203CC" w:rsidRDefault="002203CC" w:rsidP="002203CC">
      <w:pPr>
        <w:pStyle w:val="Heading4"/>
      </w:pPr>
      <w:r>
        <w:t xml:space="preserve">Energy Codes and </w:t>
      </w:r>
      <w:r w:rsidRPr="00C36178">
        <w:t>Standards</w:t>
      </w:r>
    </w:p>
    <w:p w14:paraId="4DDCF6BD" w14:textId="7378BF0F" w:rsidR="002203CC" w:rsidRPr="006B6FD1" w:rsidRDefault="002B2C69" w:rsidP="002203CC">
      <w:r>
        <w:t>None</w:t>
      </w:r>
      <w:r w:rsidR="00BC7151">
        <w:t>.</w:t>
      </w:r>
    </w:p>
    <w:p w14:paraId="29FB4246" w14:textId="48B7E9FE" w:rsidR="006B6FD1" w:rsidRPr="006B6FD1" w:rsidRDefault="006B6FD1" w:rsidP="00BC7151"/>
    <w:sectPr w:rsidR="006B6FD1" w:rsidRPr="006B6FD1" w:rsidSect="00EC2EBA">
      <w:headerReference w:type="default" r:id="rId20"/>
      <w:footnotePr>
        <w:numRestart w:val="eachSect"/>
      </w:footnotePr>
      <w:endnotePr>
        <w:numFmt w:val="decimal"/>
        <w:numRestart w:val="eachSect"/>
      </w:endnotePr>
      <w:pgSz w:w="12240" w:h="15840" w:code="1"/>
      <w:pgMar w:top="567" w:right="567" w:bottom="567" w:left="567" w:header="567" w:footer="34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9" w:author="Zachary Ross" w:date="2024-09-08T20:35:00Z" w:initials="ZR">
    <w:p w14:paraId="717141F4" w14:textId="77777777" w:rsidR="00257E63" w:rsidRDefault="00257E63" w:rsidP="00257E63">
      <w:pPr>
        <w:pStyle w:val="CommentText"/>
      </w:pPr>
      <w:r>
        <w:rPr>
          <w:rStyle w:val="CommentReference"/>
        </w:rPr>
        <w:annotationRef/>
      </w:r>
      <w:r>
        <w:rPr>
          <w:color w:val="4A4D56"/>
        </w:rPr>
        <w:t>PUC/TAG: This reference will be included in the combined TRM. For now, please reference the emissions schedule memo/Excel spreadsheet.</w:t>
      </w:r>
    </w:p>
  </w:comment>
  <w:comment w:id="13" w:author="Kevin Ketchman" w:date="2024-08-30T09:07:00Z" w:initials="KK">
    <w:p w14:paraId="03D5FF03" w14:textId="77777777" w:rsidR="00A5545C" w:rsidRDefault="00A5545C" w:rsidP="00A5545C">
      <w:pPr>
        <w:pStyle w:val="CommentText"/>
      </w:pPr>
      <w:r>
        <w:rPr>
          <w:rStyle w:val="CommentReference"/>
        </w:rPr>
        <w:annotationRef/>
      </w:r>
      <w:r>
        <w:t>I debated whether to:</w:t>
      </w:r>
    </w:p>
    <w:p w14:paraId="1DB56C09" w14:textId="77777777" w:rsidR="00A5545C" w:rsidRDefault="00A5545C" w:rsidP="00A5545C">
      <w:pPr>
        <w:pStyle w:val="CommentText"/>
        <w:numPr>
          <w:ilvl w:val="0"/>
          <w:numId w:val="43"/>
        </w:numPr>
      </w:pPr>
      <w:r>
        <w:t xml:space="preserve">Maintain consistency across the fuels with respect to formula symbols. Like use of EFbaseheat and EFproposed. The thinking being that those terms are used consistently in all fuels. However, I believe the widget measures are using custom subscripts, like EFng. I’m open to either. </w:t>
      </w:r>
    </w:p>
  </w:comment>
  <w:comment w:id="14" w:author="Kevin Ketchman" w:date="2024-08-30T09:07:00Z" w:initials="KK">
    <w:p w14:paraId="1268BB9E" w14:textId="77777777" w:rsidR="00A5545C" w:rsidRDefault="00A5545C" w:rsidP="00A5545C">
      <w:pPr>
        <w:pStyle w:val="CommentText"/>
      </w:pPr>
      <w:r>
        <w:rPr>
          <w:rStyle w:val="CommentReference"/>
        </w:rPr>
        <w:annotationRef/>
      </w:r>
      <w:r>
        <w:t>Also, should we move to CI across the board? I’m not sure it will be an easy find/replace.</w:t>
      </w:r>
    </w:p>
  </w:comment>
  <w:comment w:id="15" w:author="Zachary Ross" w:date="2024-08-30T09:39:00Z" w:initials="ZR">
    <w:p w14:paraId="0A0A41F8" w14:textId="77777777" w:rsidR="00A434FB" w:rsidRDefault="00A434FB" w:rsidP="00A434FB">
      <w:pPr>
        <w:pStyle w:val="CommentText"/>
      </w:pPr>
      <w:r>
        <w:rPr>
          <w:rStyle w:val="CommentReference"/>
        </w:rPr>
        <w:annotationRef/>
      </w:r>
      <w:r>
        <w:t>I was going to leave moving to CI across the board to the end. I agree it’s not an easy find and replace. I’d like to do it but only if we have time.</w:t>
      </w:r>
    </w:p>
    <w:p w14:paraId="46916C8F" w14:textId="77777777" w:rsidR="00A434FB" w:rsidRDefault="00A434FB" w:rsidP="00A434FB">
      <w:pPr>
        <w:pStyle w:val="CommentText"/>
      </w:pPr>
    </w:p>
    <w:p w14:paraId="2E49FFBD" w14:textId="77777777" w:rsidR="00A434FB" w:rsidRDefault="00A434FB" w:rsidP="00A434FB">
      <w:pPr>
        <w:pStyle w:val="CommentText"/>
      </w:pPr>
      <w:r>
        <w:t>Fine with the subscripts either way for now. Feels pretty minor.</w:t>
      </w:r>
    </w:p>
  </w:comment>
  <w:comment w:id="18" w:author="Zachary Ross" w:date="2024-09-04T15:23:00Z" w:initials="ZR">
    <w:p w14:paraId="1603148E" w14:textId="77777777" w:rsidR="003039BF" w:rsidRDefault="003039BF" w:rsidP="003039BF">
      <w:pPr>
        <w:pStyle w:val="CommentText"/>
      </w:pPr>
      <w:r>
        <w:rPr>
          <w:rStyle w:val="CommentReference"/>
        </w:rPr>
        <w:annotationRef/>
      </w:r>
      <w:r>
        <w:rPr>
          <w:color w:val="4A4D56"/>
        </w:rPr>
        <w:t>PUC/TAG/VGS: Do you know of reliable sources that would be a better source for this parameter? Our assumption is that it is reasonable to assume 100% of delivered gas for residential and commercial facilities is used for thermal purposes, but that a non-zero amount of delivered gas in the industrial sector is used for non-thermal purposes. We have suggested a value but if VGS or others have better estimates for this parameter we’d love to incorporate them.</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717141F4" w15:done="0"/>
  <w15:commentEx w15:paraId="1DB56C09" w15:done="1"/>
  <w15:commentEx w15:paraId="1268BB9E" w15:paraIdParent="1DB56C09" w15:done="1"/>
  <w15:commentEx w15:paraId="2E49FFBD" w15:paraIdParent="1DB56C09" w15:done="1"/>
  <w15:commentEx w15:paraId="1603148E"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07400A2E" w16cex:dateUtc="2024-09-09T00:35:00Z"/>
  <w16cex:commentExtensible w16cex:durableId="7EBD7650" w16cex:dateUtc="2024-08-30T13:07:00Z">
    <w16cex:extLst>
      <w16:ext w16:uri="{CE6994B0-6A32-4C9F-8C6B-6E91EDA988CE}">
        <cr:reactions xmlns:cr="http://schemas.microsoft.com/office/comments/2020/reactions">
          <cr:reaction reactionType="1">
            <cr:reactionInfo dateUtc="2024-08-30T13:39:03Z">
              <cr:user userId="S::Zross@opiniondynamics.com::5bc26c3a-381a-4f08-b1c4-5d36dd6451eb" userProvider="AD" userName="Zachary Ross"/>
            </cr:reactionInfo>
          </cr:reaction>
        </cr:reactions>
      </w16:ext>
    </w16cex:extLst>
  </w16cex:commentExtensible>
  <w16cex:commentExtensible w16cex:durableId="244FC39B" w16cex:dateUtc="2024-08-30T13:07:00Z"/>
  <w16cex:commentExtensible w16cex:durableId="7BD36CE7" w16cex:dateUtc="2024-08-30T13:39:00Z"/>
  <w16cex:commentExtensible w16cex:durableId="63485BE2" w16cex:dateUtc="2024-09-04T19:2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717141F4" w16cid:durableId="07400A2E"/>
  <w16cid:commentId w16cid:paraId="1DB56C09" w16cid:durableId="7EBD7650"/>
  <w16cid:commentId w16cid:paraId="1268BB9E" w16cid:durableId="244FC39B"/>
  <w16cid:commentId w16cid:paraId="2E49FFBD" w16cid:durableId="7BD36CE7"/>
  <w16cid:commentId w16cid:paraId="1603148E" w16cid:durableId="63485BE2"/>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DE77193" w14:textId="77777777" w:rsidR="004A582B" w:rsidRDefault="004A582B">
      <w:pPr>
        <w:spacing w:after="0" w:line="240" w:lineRule="auto"/>
      </w:pPr>
      <w:r>
        <w:separator/>
      </w:r>
    </w:p>
    <w:p w14:paraId="32FD192D" w14:textId="77777777" w:rsidR="004A582B" w:rsidRDefault="004A582B"/>
  </w:endnote>
  <w:endnote w:type="continuationSeparator" w:id="0">
    <w:p w14:paraId="642C64E7" w14:textId="77777777" w:rsidR="004A582B" w:rsidRDefault="004A582B">
      <w:pPr>
        <w:spacing w:after="0" w:line="240" w:lineRule="auto"/>
      </w:pPr>
      <w:r>
        <w:continuationSeparator/>
      </w:r>
    </w:p>
    <w:p w14:paraId="1627D700" w14:textId="77777777" w:rsidR="004A582B" w:rsidRDefault="004A582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Rift Soft">
    <w:panose1 w:val="00000500000000000000"/>
    <w:charset w:val="00"/>
    <w:family w:val="modern"/>
    <w:notTrueType/>
    <w:pitch w:val="variable"/>
    <w:sig w:usb0="00000007" w:usb1="00000000" w:usb2="00000000" w:usb3="00000000" w:csb0="00000093" w:csb1="00000000"/>
  </w:font>
  <w:font w:name="Franklin Gothic Medium">
    <w:panose1 w:val="020B0603020102020204"/>
    <w:charset w:val="00"/>
    <w:family w:val="swiss"/>
    <w:pitch w:val="variable"/>
    <w:sig w:usb0="00000287" w:usb1="00000000" w:usb2="00000000" w:usb3="00000000" w:csb0="0000009F" w:csb1="00000000"/>
  </w:font>
  <w:font w:name="Rift Soft Medium">
    <w:panose1 w:val="00000600000000000000"/>
    <w:charset w:val="00"/>
    <w:family w:val="modern"/>
    <w:notTrueType/>
    <w:pitch w:val="variable"/>
    <w:sig w:usb0="00000007" w:usb1="00000000" w:usb2="00000000" w:usb3="00000000" w:csb0="00000093" w:csb1="00000000"/>
  </w:font>
  <w:font w:name="Franklin Gothic Book">
    <w:panose1 w:val="020B05030201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Franklin Gothic Demi">
    <w:panose1 w:val="020B0703020102020204"/>
    <w:charset w:val="00"/>
    <w:family w:val="swiss"/>
    <w:pitch w:val="variable"/>
    <w:sig w:usb0="00000287" w:usb1="00000000" w:usb2="00000000" w:usb3="00000000" w:csb0="0000009F" w:csb1="00000000"/>
  </w:font>
  <w:font w:name="Rift Soft Light">
    <w:panose1 w:val="00000400000000000000"/>
    <w:charset w:val="00"/>
    <w:family w:val="modern"/>
    <w:notTrueType/>
    <w:pitch w:val="variable"/>
    <w:sig w:usb0="00000007" w:usb1="00000000" w:usb2="00000000" w:usb3="00000000" w:csb0="00000093"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ODExcelPlaceholder"/>
      <w:tblW w:w="0" w:type="auto"/>
      <w:tblLayout w:type="fixed"/>
      <w:tblLook w:val="04A0" w:firstRow="1" w:lastRow="0" w:firstColumn="1" w:lastColumn="0" w:noHBand="0" w:noVBand="1"/>
    </w:tblPr>
    <w:tblGrid>
      <w:gridCol w:w="5548"/>
      <w:gridCol w:w="5548"/>
    </w:tblGrid>
    <w:tr w:rsidR="001F322C" w:rsidRPr="00EF048B" w14:paraId="3D36255C" w14:textId="77777777" w:rsidTr="007C1EC0">
      <w:trPr>
        <w:cnfStyle w:val="100000000000" w:firstRow="1" w:lastRow="0" w:firstColumn="0" w:lastColumn="0" w:oddVBand="0" w:evenVBand="0" w:oddHBand="0" w:evenHBand="0" w:firstRowFirstColumn="0" w:firstRowLastColumn="0" w:lastRowFirstColumn="0" w:lastRowLastColumn="0"/>
      </w:trPr>
      <w:tc>
        <w:tcPr>
          <w:tcW w:w="5548" w:type="dxa"/>
        </w:tcPr>
        <w:p w14:paraId="254AE76F" w14:textId="77777777" w:rsidR="001F322C" w:rsidRPr="00EF048B" w:rsidRDefault="001F322C" w:rsidP="001F322C">
          <w:pPr>
            <w:pStyle w:val="Footer"/>
            <w:jc w:val="left"/>
          </w:pPr>
          <w:r w:rsidRPr="00CB54CF">
            <w:t>Opinion Dynamics</w:t>
          </w:r>
        </w:p>
      </w:tc>
      <w:tc>
        <w:tcPr>
          <w:tcW w:w="5548" w:type="dxa"/>
        </w:tcPr>
        <w:p w14:paraId="459D4393" w14:textId="77777777" w:rsidR="001F322C" w:rsidRPr="00EF048B" w:rsidRDefault="001F322C" w:rsidP="001F322C">
          <w:pPr>
            <w:pStyle w:val="Footer"/>
          </w:pPr>
          <w:r w:rsidRPr="00CB54CF">
            <w:fldChar w:fldCharType="begin"/>
          </w:r>
          <w:r w:rsidRPr="00CB54CF">
            <w:instrText xml:space="preserve"> PAGE   \* MERGEFORMAT </w:instrText>
          </w:r>
          <w:r w:rsidRPr="00CB54CF">
            <w:fldChar w:fldCharType="separate"/>
          </w:r>
          <w:r w:rsidRPr="00CB54CF">
            <w:t>1</w:t>
          </w:r>
          <w:r w:rsidRPr="00CB54CF">
            <w:fldChar w:fldCharType="end"/>
          </w:r>
        </w:p>
      </w:tc>
    </w:tr>
  </w:tbl>
  <w:p w14:paraId="614414C9" w14:textId="77777777" w:rsidR="001F322C" w:rsidRDefault="001F322C" w:rsidP="001F322C">
    <w:pPr>
      <w:pStyle w:val="Footer"/>
      <w:jc w:val="lef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ODExcelPlaceholder"/>
      <w:tblW w:w="0" w:type="auto"/>
      <w:tblLayout w:type="fixed"/>
      <w:tblLook w:val="04A0" w:firstRow="1" w:lastRow="0" w:firstColumn="1" w:lastColumn="0" w:noHBand="0" w:noVBand="1"/>
    </w:tblPr>
    <w:tblGrid>
      <w:gridCol w:w="5548"/>
      <w:gridCol w:w="5548"/>
    </w:tblGrid>
    <w:tr w:rsidR="00D46533" w:rsidRPr="00EF048B" w14:paraId="10BA74BC" w14:textId="77777777" w:rsidTr="007C1EC0">
      <w:trPr>
        <w:cnfStyle w:val="100000000000" w:firstRow="1" w:lastRow="0" w:firstColumn="0" w:lastColumn="0" w:oddVBand="0" w:evenVBand="0" w:oddHBand="0" w:evenHBand="0" w:firstRowFirstColumn="0" w:firstRowLastColumn="0" w:lastRowFirstColumn="0" w:lastRowLastColumn="0"/>
      </w:trPr>
      <w:tc>
        <w:tcPr>
          <w:tcW w:w="5548" w:type="dxa"/>
        </w:tcPr>
        <w:p w14:paraId="2D338342" w14:textId="77777777" w:rsidR="00D46533" w:rsidRPr="00EF048B" w:rsidRDefault="00D46533" w:rsidP="001F322C">
          <w:pPr>
            <w:pStyle w:val="Footer"/>
            <w:jc w:val="left"/>
          </w:pPr>
          <w:r w:rsidRPr="00CB54CF">
            <w:t>Opinion Dynamics</w:t>
          </w:r>
        </w:p>
      </w:tc>
      <w:tc>
        <w:tcPr>
          <w:tcW w:w="5548" w:type="dxa"/>
        </w:tcPr>
        <w:p w14:paraId="2C3F3AAB" w14:textId="77777777" w:rsidR="00D46533" w:rsidRPr="00EF048B" w:rsidRDefault="00D46533" w:rsidP="001F322C">
          <w:pPr>
            <w:pStyle w:val="Footer"/>
          </w:pPr>
          <w:r w:rsidRPr="00CB54CF">
            <w:t xml:space="preserve">| </w:t>
          </w:r>
          <w:r w:rsidRPr="00CB54CF">
            <w:fldChar w:fldCharType="begin"/>
          </w:r>
          <w:r w:rsidRPr="00CB54CF">
            <w:instrText xml:space="preserve"> PAGE   \* MERGEFORMAT </w:instrText>
          </w:r>
          <w:r w:rsidRPr="00CB54CF">
            <w:fldChar w:fldCharType="separate"/>
          </w:r>
          <w:r w:rsidRPr="00CB54CF">
            <w:t>1</w:t>
          </w:r>
          <w:r w:rsidRPr="00CB54CF">
            <w:fldChar w:fldCharType="end"/>
          </w:r>
        </w:p>
      </w:tc>
    </w:tr>
  </w:tbl>
  <w:p w14:paraId="5C1D1621" w14:textId="77777777" w:rsidR="00D46533" w:rsidRDefault="00D46533" w:rsidP="001F322C">
    <w:pPr>
      <w:pStyle w:val="Footer"/>
      <w:jc w:val="left"/>
    </w:pPr>
  </w:p>
  <w:p w14:paraId="2AABF379" w14:textId="77777777" w:rsidR="00946702" w:rsidRDefault="00946702"/>
  <w:p w14:paraId="24B6AA83" w14:textId="77777777" w:rsidR="00946702" w:rsidRDefault="00946702"/>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6645532" w14:textId="77777777" w:rsidR="004A582B" w:rsidRDefault="004A582B">
      <w:pPr>
        <w:spacing w:after="0" w:line="240" w:lineRule="auto"/>
      </w:pPr>
      <w:r>
        <w:separator/>
      </w:r>
    </w:p>
  </w:footnote>
  <w:footnote w:type="continuationSeparator" w:id="0">
    <w:p w14:paraId="72E173E7" w14:textId="77777777" w:rsidR="004A582B" w:rsidRDefault="004A582B">
      <w:pPr>
        <w:spacing w:after="0" w:line="240" w:lineRule="auto"/>
      </w:pPr>
      <w:r>
        <w:continuationSeparator/>
      </w:r>
    </w:p>
  </w:footnote>
  <w:footnote w:id="1">
    <w:p w14:paraId="54B505ED" w14:textId="7474EE9C" w:rsidR="0041296A" w:rsidRDefault="0041296A">
      <w:pPr>
        <w:pStyle w:val="FootnoteText"/>
      </w:pPr>
      <w:r>
        <w:rPr>
          <w:rStyle w:val="FootnoteReference"/>
        </w:rPr>
        <w:footnoteRef/>
      </w:r>
      <w:r>
        <w:t xml:space="preserve"> </w:t>
      </w:r>
      <w:r w:rsidRPr="009E0D23">
        <w:t xml:space="preserve">Wang, Michael, </w:t>
      </w:r>
      <w:proofErr w:type="spellStart"/>
      <w:r w:rsidRPr="009E0D23">
        <w:t>Elgowainy</w:t>
      </w:r>
      <w:proofErr w:type="spellEnd"/>
      <w:r w:rsidRPr="009E0D23">
        <w:t xml:space="preserve">, </w:t>
      </w:r>
      <w:proofErr w:type="spellStart"/>
      <w:r w:rsidRPr="009E0D23">
        <w:t>Amgad</w:t>
      </w:r>
      <w:proofErr w:type="spellEnd"/>
      <w:r w:rsidRPr="009E0D23">
        <w:t xml:space="preserve">, Lu, </w:t>
      </w:r>
      <w:proofErr w:type="spellStart"/>
      <w:r w:rsidRPr="009E0D23">
        <w:t>Zifeng</w:t>
      </w:r>
      <w:proofErr w:type="spellEnd"/>
      <w:r w:rsidRPr="009E0D23">
        <w:t xml:space="preserve">, </w:t>
      </w:r>
      <w:r>
        <w:t>et al</w:t>
      </w:r>
      <w:r w:rsidRPr="009E0D23">
        <w:t xml:space="preserve">. Greenhouse gases, Regulated Emissions, and Energy use in Technologies Model ® </w:t>
      </w:r>
      <w:r>
        <w:t>(2023rev1 Release)</w:t>
      </w:r>
      <w:r w:rsidRPr="009E0D23">
        <w:t>. Computer Software. USDOE Office of Energy Efficiency and Renewable Energy (EERE). 09 Oct. 2023. Web. doi:10.11578/GREET-Net-2023/dc.20230907.2.</w:t>
      </w:r>
      <w:r>
        <w:t xml:space="preserve"> Retrieved from </w:t>
      </w:r>
      <w:hyperlink r:id="rId1" w:history="1">
        <w:r w:rsidR="00E24A4F" w:rsidRPr="00EF7234">
          <w:rPr>
            <w:rStyle w:val="Hyperlink"/>
            <w:rFonts w:ascii="Franklin Gothic Book" w:hAnsi="Franklin Gothic Book"/>
            <w:noProof w:val="0"/>
            <w:sz w:val="18"/>
          </w:rPr>
          <w:t>https://greet.anl.gov/</w:t>
        </w:r>
      </w:hyperlink>
      <w:r w:rsidR="00E24A4F">
        <w:t xml:space="preserve"> </w:t>
      </w:r>
    </w:p>
  </w:footnote>
  <w:footnote w:id="2">
    <w:p w14:paraId="7E05F0B8" w14:textId="132C3630" w:rsidR="00800B51" w:rsidRDefault="00800B51">
      <w:pPr>
        <w:pStyle w:val="FootnoteText"/>
      </w:pPr>
      <w:r>
        <w:rPr>
          <w:rStyle w:val="FootnoteReference"/>
        </w:rPr>
        <w:footnoteRef/>
      </w:r>
      <w:r>
        <w:t xml:space="preserve"> The %Thermal factor for industrial applications is calculated as the sum of natural gas used in </w:t>
      </w:r>
      <w:r w:rsidR="00080878">
        <w:t xml:space="preserve">Conventional Boiler Use, </w:t>
      </w:r>
      <w:r>
        <w:t xml:space="preserve">Process Heating and Facility HVAC divided by the sum of </w:t>
      </w:r>
      <w:proofErr w:type="gramStart"/>
      <w:r>
        <w:t>all natural</w:t>
      </w:r>
      <w:proofErr w:type="gramEnd"/>
      <w:r>
        <w:t xml:space="preserve"> gas use in the Northeast Census Region from the US EIA </w:t>
      </w:r>
      <w:r w:rsidRPr="00800B51">
        <w:t>Manufacturing Energy Consumption Survey (MECS)</w:t>
      </w:r>
      <w:r>
        <w:t xml:space="preserve">, 2018. Table 5.6 </w:t>
      </w:r>
      <w:r w:rsidRPr="00800B51">
        <w:t>End Uses of Fuel Consumption, 2018</w:t>
      </w:r>
      <w:r>
        <w:t xml:space="preserve">, published February 2021. </w:t>
      </w:r>
      <w:hyperlink r:id="rId2" w:anchor="r5" w:history="1">
        <w:r w:rsidR="00AF7C95" w:rsidRPr="00933432">
          <w:rPr>
            <w:rStyle w:val="Hyperlink"/>
            <w:rFonts w:ascii="Franklin Gothic Book" w:hAnsi="Franklin Gothic Book"/>
            <w:noProof w:val="0"/>
            <w:sz w:val="18"/>
          </w:rPr>
          <w:t>https://www.eia.gov/consumption/manufacturing/data/2018/#r5</w:t>
        </w:r>
      </w:hyperlink>
      <w:r w:rsidR="00AF7C95">
        <w:t xml:space="preserve"> </w:t>
      </w:r>
    </w:p>
  </w:footnote>
  <w:footnote w:id="3">
    <w:p w14:paraId="3918BB57" w14:textId="42774241" w:rsidR="005742EA" w:rsidRDefault="005742EA" w:rsidP="00C62485">
      <w:pPr>
        <w:pStyle w:val="FootnoteText"/>
      </w:pPr>
      <w:r>
        <w:rPr>
          <w:rStyle w:val="FootnoteReference"/>
        </w:rPr>
        <w:footnoteRef/>
      </w:r>
      <w:r>
        <w:t xml:space="preserve"> </w:t>
      </w:r>
      <w:r w:rsidRPr="009E0D23">
        <w:t xml:space="preserve">Wang, Michael, </w:t>
      </w:r>
      <w:proofErr w:type="spellStart"/>
      <w:r w:rsidRPr="009E0D23">
        <w:t>Elgowainy</w:t>
      </w:r>
      <w:proofErr w:type="spellEnd"/>
      <w:r w:rsidRPr="009E0D23">
        <w:t xml:space="preserve">, </w:t>
      </w:r>
      <w:proofErr w:type="spellStart"/>
      <w:r w:rsidRPr="009E0D23">
        <w:t>Amgad</w:t>
      </w:r>
      <w:proofErr w:type="spellEnd"/>
      <w:r w:rsidRPr="009E0D23">
        <w:t xml:space="preserve">, Lu, </w:t>
      </w:r>
      <w:proofErr w:type="spellStart"/>
      <w:r w:rsidRPr="009E0D23">
        <w:t>Zifeng</w:t>
      </w:r>
      <w:proofErr w:type="spellEnd"/>
      <w:r w:rsidRPr="009E0D23">
        <w:t xml:space="preserve">, </w:t>
      </w:r>
      <w:r>
        <w:t>et al</w:t>
      </w:r>
      <w:r w:rsidRPr="009E0D23">
        <w:t xml:space="preserve">. Greenhouse gases, Regulated Emissions, and Energy use in Technologies Model ® </w:t>
      </w:r>
      <w:r>
        <w:t>(2023rev1 Release)</w:t>
      </w:r>
      <w:r w:rsidRPr="009E0D23">
        <w:t>. Computer Software. USDOE Office of Energy Efficiency and Renewable Energy (EERE). 09 Oct. 2023. Web. doi:10.11578/GREET-Net-2023/dc.20230907.2.</w:t>
      </w:r>
      <w:r>
        <w:t xml:space="preserve"> Retrieved from </w:t>
      </w:r>
      <w:hyperlink r:id="rId3" w:history="1">
        <w:r w:rsidR="00E24A4F" w:rsidRPr="00EF7234">
          <w:rPr>
            <w:rStyle w:val="Hyperlink"/>
            <w:rFonts w:ascii="Franklin Gothic Book" w:hAnsi="Franklin Gothic Book"/>
            <w:noProof w:val="0"/>
            <w:sz w:val="18"/>
          </w:rPr>
          <w:t>https://greet.anl.gov/</w:t>
        </w:r>
      </w:hyperlink>
      <w:r w:rsidR="00E24A4F">
        <w:t xml:space="preserve"> </w:t>
      </w:r>
    </w:p>
  </w:footnote>
  <w:footnote w:id="4">
    <w:p w14:paraId="04D7BDFE" w14:textId="77777777" w:rsidR="005742EA" w:rsidRDefault="005742EA" w:rsidP="00C62485">
      <w:pPr>
        <w:pStyle w:val="FootnoteText"/>
      </w:pPr>
      <w:r>
        <w:rPr>
          <w:rStyle w:val="FootnoteReference"/>
        </w:rPr>
        <w:footnoteRef/>
      </w:r>
      <w:r>
        <w:t xml:space="preserve"> Ibid.</w:t>
      </w:r>
    </w:p>
  </w:footnote>
  <w:footnote w:id="5">
    <w:p w14:paraId="2731A1D7" w14:textId="6403B8A6" w:rsidR="0040700C" w:rsidRDefault="0040700C">
      <w:pPr>
        <w:pStyle w:val="FootnoteText"/>
      </w:pPr>
      <w:r>
        <w:rPr>
          <w:rStyle w:val="FootnoteReference"/>
        </w:rPr>
        <w:footnoteRef/>
      </w:r>
      <w:r>
        <w:t xml:space="preserve"> U.S. Department of Energy Alternative Fuels Data Center. Accessed at: </w:t>
      </w:r>
      <w:hyperlink r:id="rId4" w:history="1">
        <w:r w:rsidRPr="004B4F7D">
          <w:rPr>
            <w:rStyle w:val="Hyperlink"/>
            <w:rFonts w:ascii="Franklin Gothic Book" w:hAnsi="Franklin Gothic Book"/>
            <w:noProof w:val="0"/>
            <w:sz w:val="18"/>
          </w:rPr>
          <w:t>https://afdc.energy.gov/fuels/biodiesel-production</w:t>
        </w:r>
      </w:hyperlink>
      <w:r>
        <w:t xml:space="preserve"> </w:t>
      </w:r>
    </w:p>
  </w:footnote>
  <w:footnote w:id="6">
    <w:p w14:paraId="4975E0FD" w14:textId="03D5C898" w:rsidR="00FF3FAB" w:rsidRPr="00FF3FAB" w:rsidRDefault="00FF3FAB">
      <w:pPr>
        <w:pStyle w:val="FootnoteText"/>
      </w:pPr>
      <w:r>
        <w:rPr>
          <w:rStyle w:val="FootnoteReference"/>
        </w:rPr>
        <w:footnoteRef/>
      </w:r>
      <w:r>
        <w:t xml:space="preserve"> </w:t>
      </w:r>
      <w:proofErr w:type="spellStart"/>
      <w:r w:rsidRPr="00FF3FAB">
        <w:t>Gerveni</w:t>
      </w:r>
      <w:proofErr w:type="spellEnd"/>
      <w:r w:rsidRPr="00FF3FAB">
        <w:t xml:space="preserve">, M., T. Hubbs and S. Irwin. "Biodiesel and Renewable Diesel: What’s the Difference?" </w:t>
      </w:r>
      <w:proofErr w:type="spellStart"/>
      <w:r w:rsidRPr="00427501">
        <w:rPr>
          <w:i/>
          <w:iCs/>
        </w:rPr>
        <w:t>farmdoc</w:t>
      </w:r>
      <w:proofErr w:type="spellEnd"/>
      <w:r w:rsidRPr="00427501">
        <w:rPr>
          <w:i/>
          <w:iCs/>
        </w:rPr>
        <w:t xml:space="preserve"> daily</w:t>
      </w:r>
      <w:r w:rsidRPr="00FF3FAB">
        <w:t xml:space="preserve"> (13):22, Department of Agricultural and Consumer Economics, University of Illinois at Urbana-Champaign, February 8, 2023.</w:t>
      </w:r>
    </w:p>
  </w:footnote>
  <w:footnote w:id="7">
    <w:p w14:paraId="1640C764" w14:textId="42AC650C" w:rsidR="005742EA" w:rsidRDefault="005742EA" w:rsidP="005742EA">
      <w:pPr>
        <w:pStyle w:val="FootnoteText"/>
      </w:pPr>
      <w:r>
        <w:rPr>
          <w:rStyle w:val="FootnoteReference"/>
        </w:rPr>
        <w:footnoteRef/>
      </w:r>
      <w:r>
        <w:t xml:space="preserve"> </w:t>
      </w:r>
      <w:r w:rsidRPr="009E0D23">
        <w:t xml:space="preserve">Wang, Michael, </w:t>
      </w:r>
      <w:proofErr w:type="spellStart"/>
      <w:r w:rsidRPr="009E0D23">
        <w:t>Elgowainy</w:t>
      </w:r>
      <w:proofErr w:type="spellEnd"/>
      <w:r w:rsidRPr="009E0D23">
        <w:t xml:space="preserve">, </w:t>
      </w:r>
      <w:proofErr w:type="spellStart"/>
      <w:r w:rsidRPr="009E0D23">
        <w:t>Amgad</w:t>
      </w:r>
      <w:proofErr w:type="spellEnd"/>
      <w:r w:rsidRPr="009E0D23">
        <w:t xml:space="preserve">, Lu, </w:t>
      </w:r>
      <w:proofErr w:type="spellStart"/>
      <w:r w:rsidRPr="009E0D23">
        <w:t>Zifeng</w:t>
      </w:r>
      <w:proofErr w:type="spellEnd"/>
      <w:r w:rsidRPr="009E0D23">
        <w:t xml:space="preserve">, </w:t>
      </w:r>
      <w:r>
        <w:t>et al</w:t>
      </w:r>
      <w:r w:rsidRPr="009E0D23">
        <w:t xml:space="preserve">. Greenhouse gases, Regulated Emissions, and Energy use in Technologies Model ® </w:t>
      </w:r>
      <w:r>
        <w:t>(2023rev1 Release)</w:t>
      </w:r>
      <w:r w:rsidRPr="009E0D23">
        <w:t xml:space="preserve">. Computer Software. USDOE Office of Energy </w:t>
      </w:r>
      <w:r w:rsidR="0014392F">
        <w:t>Ef</w:t>
      </w:r>
      <w:r w:rsidRPr="009E0D23">
        <w:t>ficiency and Renewable Energy (EERE). 09 Oct. 2023. Web. doi:10.11578/GREET-Net-2023/dc.20230907.2.</w:t>
      </w:r>
      <w:r>
        <w:t xml:space="preserve"> Retrieved from </w:t>
      </w:r>
      <w:hyperlink r:id="rId5" w:history="1">
        <w:r w:rsidR="00E24A4F" w:rsidRPr="00EF7234">
          <w:rPr>
            <w:rStyle w:val="Hyperlink"/>
            <w:rFonts w:ascii="Franklin Gothic Book" w:hAnsi="Franklin Gothic Book"/>
            <w:noProof w:val="0"/>
            <w:sz w:val="18"/>
          </w:rPr>
          <w:t>https://greet.anl.gov/</w:t>
        </w:r>
      </w:hyperlink>
      <w:r w:rsidR="00E24A4F">
        <w:t xml:space="preserve"> </w:t>
      </w:r>
    </w:p>
  </w:footnote>
  <w:footnote w:id="8">
    <w:p w14:paraId="61C607EE" w14:textId="4771CB2A" w:rsidR="00FF3FAB" w:rsidRDefault="00FF3FAB">
      <w:pPr>
        <w:pStyle w:val="FootnoteText"/>
      </w:pPr>
      <w:r>
        <w:rPr>
          <w:rStyle w:val="FootnoteReference"/>
        </w:rPr>
        <w:footnoteRef/>
      </w:r>
      <w:r>
        <w:t xml:space="preserve"> U.S. Department of Energy Alternative Fuels Data Center. Accessed at: </w:t>
      </w:r>
      <w:hyperlink r:id="rId6" w:history="1">
        <w:r w:rsidRPr="004B4F7D">
          <w:rPr>
            <w:rStyle w:val="Hyperlink"/>
            <w:rFonts w:ascii="Franklin Gothic Book" w:hAnsi="Franklin Gothic Book"/>
            <w:noProof w:val="0"/>
            <w:sz w:val="18"/>
          </w:rPr>
          <w:t>https://afdc.energy.gov/fuels/renewable-diesel</w:t>
        </w:r>
      </w:hyperlink>
      <w:r>
        <w:t xml:space="preserve"> </w:t>
      </w:r>
    </w:p>
  </w:footnote>
  <w:footnote w:id="9">
    <w:p w14:paraId="3E6D04FB" w14:textId="1EA0438F" w:rsidR="00612AFE" w:rsidRDefault="00612AFE">
      <w:pPr>
        <w:pStyle w:val="FootnoteText"/>
      </w:pPr>
      <w:r>
        <w:rPr>
          <w:rStyle w:val="FootnoteReference"/>
        </w:rPr>
        <w:footnoteRef/>
      </w:r>
      <w:r>
        <w:t xml:space="preserve"> </w:t>
      </w:r>
      <w:proofErr w:type="spellStart"/>
      <w:r w:rsidRPr="00FF3FAB">
        <w:t>Gerveni</w:t>
      </w:r>
      <w:proofErr w:type="spellEnd"/>
      <w:r w:rsidRPr="00FF3FAB">
        <w:t xml:space="preserve">, M., T. Hubbs and S. Irwin. "Biodiesel and Renewable Diesel: What’s the Difference?" </w:t>
      </w:r>
      <w:proofErr w:type="spellStart"/>
      <w:r w:rsidRPr="003C109B">
        <w:rPr>
          <w:i/>
          <w:iCs/>
        </w:rPr>
        <w:t>farmdoc</w:t>
      </w:r>
      <w:proofErr w:type="spellEnd"/>
      <w:r w:rsidRPr="003C109B">
        <w:rPr>
          <w:i/>
          <w:iCs/>
        </w:rPr>
        <w:t xml:space="preserve"> daily</w:t>
      </w:r>
      <w:r w:rsidRPr="00FF3FAB">
        <w:t xml:space="preserve"> (13):22, Department of Agricultural and Consumer Economics, University of Illinois at Urbana-Champaign, February 8, 2023.</w:t>
      </w:r>
    </w:p>
  </w:footnote>
  <w:footnote w:id="10">
    <w:p w14:paraId="0F04188F" w14:textId="57008E35" w:rsidR="00416C7A" w:rsidRDefault="00416C7A" w:rsidP="00416C7A">
      <w:pPr>
        <w:pStyle w:val="FootnoteText"/>
      </w:pPr>
      <w:r>
        <w:rPr>
          <w:rStyle w:val="FootnoteReference"/>
        </w:rPr>
        <w:footnoteRef/>
      </w:r>
      <w:r>
        <w:t xml:space="preserve"> </w:t>
      </w:r>
      <w:r w:rsidRPr="009E0D23">
        <w:t xml:space="preserve">Wang, Michael, </w:t>
      </w:r>
      <w:proofErr w:type="spellStart"/>
      <w:r w:rsidRPr="009E0D23">
        <w:t>Elgowainy</w:t>
      </w:r>
      <w:proofErr w:type="spellEnd"/>
      <w:r w:rsidRPr="009E0D23">
        <w:t xml:space="preserve">, </w:t>
      </w:r>
      <w:proofErr w:type="spellStart"/>
      <w:r w:rsidRPr="009E0D23">
        <w:t>Amgad</w:t>
      </w:r>
      <w:proofErr w:type="spellEnd"/>
      <w:r w:rsidRPr="009E0D23">
        <w:t xml:space="preserve">, Lu, </w:t>
      </w:r>
      <w:proofErr w:type="spellStart"/>
      <w:r w:rsidRPr="009E0D23">
        <w:t>Zifeng</w:t>
      </w:r>
      <w:proofErr w:type="spellEnd"/>
      <w:r w:rsidRPr="009E0D23">
        <w:t xml:space="preserve">, </w:t>
      </w:r>
      <w:r>
        <w:t>et al</w:t>
      </w:r>
      <w:r w:rsidRPr="009E0D23">
        <w:t xml:space="preserve">. Greenhouse gases, Regulated Emissions, and Energy use in Technologies Model ® </w:t>
      </w:r>
      <w:r>
        <w:t>(2023rev1 Release)</w:t>
      </w:r>
      <w:r w:rsidRPr="009E0D23">
        <w:t xml:space="preserve">. Computer Software. USDOE Office of Energy </w:t>
      </w:r>
      <w:r w:rsidR="0014392F">
        <w:t>Ef</w:t>
      </w:r>
      <w:r w:rsidRPr="009E0D23">
        <w:t>ficiency and Renewable Energy (EERE). 09 Oct. 2023. Web. doi:10.11578/GREET-Net-2023/dc.20230907.2.</w:t>
      </w:r>
      <w:r>
        <w:t xml:space="preserve"> Retrieved from </w:t>
      </w:r>
      <w:hyperlink r:id="rId7" w:history="1">
        <w:r w:rsidR="0014392F" w:rsidRPr="004B4F7D">
          <w:rPr>
            <w:rStyle w:val="Hyperlink"/>
            <w:rFonts w:ascii="Franklin Gothic Book" w:hAnsi="Franklin Gothic Book"/>
            <w:noProof w:val="0"/>
            <w:sz w:val="18"/>
          </w:rPr>
          <w:t>https://greet.anl.gov/</w:t>
        </w:r>
      </w:hyperlink>
      <w:r w:rsidR="0014392F">
        <w:t xml:space="preserve"> </w:t>
      </w:r>
    </w:p>
  </w:footnote>
  <w:footnote w:id="11">
    <w:p w14:paraId="3E6078FF" w14:textId="149E73F6" w:rsidR="00E71295" w:rsidRDefault="00E71295">
      <w:pPr>
        <w:pStyle w:val="FootnoteText"/>
      </w:pPr>
      <w:r>
        <w:rPr>
          <w:rStyle w:val="FootnoteReference"/>
        </w:rPr>
        <w:footnoteRef/>
      </w:r>
      <w:r>
        <w:t xml:space="preserve"> Derived from the World Wildlife Fund’s Biogenic Footprint Carbon Calculator (2020), assuming a 50/50 split of </w:t>
      </w:r>
      <w:r w:rsidRPr="0023477C">
        <w:t>Cool Temperate | Spruce (Picea)</w:t>
      </w:r>
      <w:r>
        <w:t xml:space="preserve"> and Pine all (Pinus) biomass sources. Retrieved on August 19, 2024 from </w:t>
      </w:r>
      <w:hyperlink r:id="rId8" w:history="1">
        <w:r w:rsidR="00FE0C40" w:rsidRPr="004B4F7D">
          <w:rPr>
            <w:rStyle w:val="Hyperlink"/>
            <w:rFonts w:ascii="Franklin Gothic Book" w:hAnsi="Franklin Gothic Book"/>
            <w:noProof w:val="0"/>
            <w:sz w:val="18"/>
          </w:rPr>
          <w:t>https://files.worldwildlife.org/wwfcmsprod/misc/climate_forest/Biogenic_Carbon_Footprint_Calculator_2020.xlsx</w:t>
        </w:r>
      </w:hyperlink>
      <w:r w:rsidR="00FE0C40">
        <w:t xml:space="preserve"> </w:t>
      </w:r>
    </w:p>
  </w:footnote>
  <w:footnote w:id="12">
    <w:p w14:paraId="5B7AFC70" w14:textId="170FA434" w:rsidR="006B6FD1" w:rsidRDefault="006B6FD1" w:rsidP="006B6FD1">
      <w:pPr>
        <w:pStyle w:val="FootnoteText"/>
      </w:pPr>
      <w:r>
        <w:rPr>
          <w:rStyle w:val="FootnoteReference"/>
        </w:rPr>
        <w:footnoteRef/>
      </w:r>
      <w:r>
        <w:t xml:space="preserve"> The </w:t>
      </w:r>
      <w:r w:rsidR="00B54E5A">
        <w:t>N</w:t>
      </w:r>
      <w:r>
        <w:t>ortheast</w:t>
      </w:r>
      <w:r w:rsidR="002E75D5">
        <w:t xml:space="preserve"> in this document</w:t>
      </w:r>
      <w:r>
        <w:t xml:space="preserve"> includes Connecticut, Maine, Massachusetts, New Hampshire, New York, Rhode Island, and Vermont.</w:t>
      </w:r>
    </w:p>
  </w:footnote>
  <w:footnote w:id="13">
    <w:p w14:paraId="47B8EE89" w14:textId="143DDA53" w:rsidR="001B0413" w:rsidRPr="001B0413" w:rsidRDefault="001B0413" w:rsidP="001B0413">
      <w:pPr>
        <w:pStyle w:val="FootnoteText"/>
      </w:pPr>
      <w:r w:rsidRPr="001B0413">
        <w:rPr>
          <w:rStyle w:val="FootnoteReference"/>
        </w:rPr>
        <w:footnoteRef/>
      </w:r>
      <w:r w:rsidRPr="001B0413">
        <w:t xml:space="preserve"> </w:t>
      </w:r>
      <w:r w:rsidR="000A3374">
        <w:t>The distribution of fuels used in the commercial sector are calculated from a fuel’s use in space heating, water heating, and cooking divided by the sum of all fuels used those same categories for the Northeast Census Region from the US EIA Commercial Building</w:t>
      </w:r>
      <w:r w:rsidR="000A3374" w:rsidRPr="00800B51">
        <w:t xml:space="preserve"> Energy Consumption Survey (</w:t>
      </w:r>
      <w:r w:rsidR="000A3374">
        <w:t>CB</w:t>
      </w:r>
      <w:r w:rsidR="000A3374" w:rsidRPr="00800B51">
        <w:t>ECS)</w:t>
      </w:r>
      <w:r w:rsidR="000A3374">
        <w:t xml:space="preserve">, 2018. Tables E3, E7, and E9, published December 2022. </w:t>
      </w:r>
      <w:hyperlink r:id="rId9" w:history="1">
        <w:r w:rsidR="00B54E5A" w:rsidRPr="004B4F7D">
          <w:rPr>
            <w:rStyle w:val="Hyperlink"/>
            <w:rFonts w:ascii="Franklin Gothic Book" w:hAnsi="Franklin Gothic Book"/>
            <w:noProof w:val="0"/>
            <w:sz w:val="18"/>
          </w:rPr>
          <w:t>https://www.eia.gov/consumption/commercial/data/2018/</w:t>
        </w:r>
      </w:hyperlink>
      <w:r w:rsidR="00B54E5A">
        <w:t xml:space="preserve"> </w:t>
      </w:r>
    </w:p>
  </w:footnote>
  <w:footnote w:id="14">
    <w:p w14:paraId="426A3C4B" w14:textId="25C06923" w:rsidR="001B0413" w:rsidRDefault="001B0413">
      <w:pPr>
        <w:pStyle w:val="FootnoteText"/>
      </w:pPr>
      <w:r w:rsidRPr="001B0413">
        <w:rPr>
          <w:rStyle w:val="FootnoteReference"/>
        </w:rPr>
        <w:footnoteRef/>
      </w:r>
      <w:r>
        <w:t xml:space="preserve"> The distribution of fuels used in the industrial sector are calculated from a fuel’s use in Conventional Boiler Use, Process Heating, and Facility HVAC divided by the sum of all fuels used those same categories for the Northeast Census Region from the US EIA </w:t>
      </w:r>
      <w:r w:rsidRPr="00800B51">
        <w:t>Manufacturing Energy Consumption Survey (MECS)</w:t>
      </w:r>
      <w:r>
        <w:t xml:space="preserve">, 2018. Table 5.6 </w:t>
      </w:r>
      <w:r w:rsidRPr="00800B51">
        <w:t>End Uses of Fuel Consumption, 2018</w:t>
      </w:r>
      <w:r>
        <w:t xml:space="preserve">, published February 2021. </w:t>
      </w:r>
      <w:hyperlink r:id="rId10" w:anchor="r5" w:history="1">
        <w:r w:rsidR="00B54E5A" w:rsidRPr="004B4F7D">
          <w:rPr>
            <w:rStyle w:val="Hyperlink"/>
            <w:rFonts w:ascii="Franklin Gothic Book" w:hAnsi="Franklin Gothic Book"/>
            <w:noProof w:val="0"/>
            <w:sz w:val="18"/>
          </w:rPr>
          <w:t>https://www.eia.gov/consumption/manufacturing/data/2018/#r5</w:t>
        </w:r>
      </w:hyperlink>
      <w:r w:rsidR="00B54E5A">
        <w:t xml:space="preserve"> </w:t>
      </w:r>
    </w:p>
  </w:footnote>
  <w:footnote w:id="15">
    <w:p w14:paraId="5C9AFC2E" w14:textId="6A3B2879" w:rsidR="00D57932" w:rsidRDefault="00D57932">
      <w:pPr>
        <w:pStyle w:val="FootnoteText"/>
      </w:pPr>
      <w:r>
        <w:rPr>
          <w:rStyle w:val="FootnoteReference"/>
        </w:rPr>
        <w:footnoteRef/>
      </w:r>
      <w:r>
        <w:t xml:space="preserve"> Derived from the </w:t>
      </w:r>
      <w:r w:rsidRPr="009E0D23">
        <w:t xml:space="preserve">Greenhouse gases, Regulated Emissions, and Energy use in Technologies </w:t>
      </w:r>
      <w:r>
        <w:t xml:space="preserve">(GREET) </w:t>
      </w:r>
      <w:r w:rsidRPr="009E0D23">
        <w:t xml:space="preserve">Model </w:t>
      </w:r>
      <w:r>
        <w:t>(2023rev1 Release) as the weighted average lower heating value of wood feedstocks, pine and maple/beech/birch.</w:t>
      </w:r>
    </w:p>
  </w:footnote>
  <w:footnote w:id="16">
    <w:p w14:paraId="259665A7" w14:textId="34E15DE7" w:rsidR="003E288B" w:rsidRDefault="003E288B" w:rsidP="003E288B">
      <w:pPr>
        <w:pStyle w:val="FootnoteText"/>
      </w:pPr>
      <w:r>
        <w:rPr>
          <w:rStyle w:val="FootnoteReference"/>
        </w:rPr>
        <w:footnoteRef/>
      </w:r>
      <w:r>
        <w:t xml:space="preserve"> Derived from the World Wildlife Fund’s Biogenic Footprint Carbon Calculator (2020), assuming a 50/50 split of </w:t>
      </w:r>
      <w:r w:rsidRPr="0023477C">
        <w:t>Cool Temperate | Spruce (Picea)</w:t>
      </w:r>
      <w:r>
        <w:t xml:space="preserve"> and Pine all (Pinus) biomass sources. Retrieved on August 19, 2024 from </w:t>
      </w:r>
      <w:hyperlink r:id="rId11" w:history="1">
        <w:r w:rsidR="00CE5F91" w:rsidRPr="004B4F7D">
          <w:rPr>
            <w:rStyle w:val="Hyperlink"/>
            <w:rFonts w:ascii="Franklin Gothic Book" w:hAnsi="Franklin Gothic Book"/>
            <w:noProof w:val="0"/>
            <w:sz w:val="18"/>
          </w:rPr>
          <w:t>https://files.worldwildlife.org/wwfcmsprod/misc/climate_forest/Biogenic_Carbon_Footprint_Calculator_2020.xlsx</w:t>
        </w:r>
      </w:hyperlink>
      <w:r w:rsidR="00CE5F91">
        <w:t xml:space="preserve"> </w:t>
      </w:r>
    </w:p>
  </w:footnote>
  <w:footnote w:id="17">
    <w:p w14:paraId="4E6EB14A" w14:textId="1C17679C" w:rsidR="003E288B" w:rsidRDefault="003E288B" w:rsidP="003E288B">
      <w:pPr>
        <w:pStyle w:val="FootnoteText"/>
      </w:pPr>
      <w:r>
        <w:rPr>
          <w:rStyle w:val="FootnoteReference"/>
        </w:rPr>
        <w:footnoteRef/>
      </w:r>
      <w:r>
        <w:t xml:space="preserve"> The </w:t>
      </w:r>
      <w:r w:rsidR="00CE5F91">
        <w:t>N</w:t>
      </w:r>
      <w:r>
        <w:t>ortheast</w:t>
      </w:r>
      <w:r w:rsidR="00A16868" w:rsidRPr="00A16868">
        <w:t xml:space="preserve"> </w:t>
      </w:r>
      <w:r w:rsidR="00A16868">
        <w:t>in this document</w:t>
      </w:r>
      <w:r>
        <w:t xml:space="preserve"> includes Connecticut, Maine, Massachusetts, New Hampshire, New York, Rhode Island, and Vermont.</w:t>
      </w:r>
    </w:p>
  </w:footnote>
  <w:footnote w:id="18">
    <w:p w14:paraId="744993BF" w14:textId="77777777" w:rsidR="001B0413" w:rsidRDefault="001B0413" w:rsidP="001B0413">
      <w:pPr>
        <w:pStyle w:val="FootnoteText"/>
      </w:pPr>
      <w:r>
        <w:rPr>
          <w:rStyle w:val="FootnoteReference"/>
        </w:rPr>
        <w:footnoteRef/>
      </w:r>
      <w:r>
        <w:t xml:space="preserve"> </w:t>
      </w:r>
      <w:r w:rsidRPr="00880BF7">
        <w:t>Derived from NMR Group, 2020 Vermont Single Family Existing Homes Baseline Study and NMR Group, 2020 Vermont Multifamily Residential Baseline Study. Assumes 50%/50% split between wood stoves and gas fireplaces. Gas fireplaces are split between natural gas and propane according to survey results for each fuel. The single family and multifamily results are combined for the “unknown” building type category by weighting according to the population of each building type in the respective studies.</w:t>
      </w:r>
    </w:p>
  </w:footnote>
  <w:footnote w:id="19">
    <w:p w14:paraId="4B3483A6" w14:textId="7036E7ED" w:rsidR="00D57932" w:rsidRDefault="00D57932" w:rsidP="00D57932">
      <w:pPr>
        <w:pStyle w:val="FootnoteText"/>
      </w:pPr>
      <w:r>
        <w:rPr>
          <w:rStyle w:val="FootnoteReference"/>
        </w:rPr>
        <w:footnoteRef/>
      </w:r>
      <w:r>
        <w:t xml:space="preserve"> Derived from the </w:t>
      </w:r>
      <w:r w:rsidRPr="009E0D23">
        <w:t xml:space="preserve">Greenhouse gases, Regulated Emissions, and Energy use in Technologies </w:t>
      </w:r>
      <w:r>
        <w:t xml:space="preserve">(GREET) </w:t>
      </w:r>
      <w:r w:rsidRPr="009E0D23">
        <w:t xml:space="preserve">Model </w:t>
      </w:r>
      <w:r>
        <w:t>(2023rev1 Release) as the weighted average lower heating value of wood feedstocks, pine and maple/beech/birch.</w:t>
      </w:r>
    </w:p>
  </w:footnote>
  <w:footnote w:id="20">
    <w:p w14:paraId="70C1B4DC" w14:textId="5FF19675" w:rsidR="003E288B" w:rsidRDefault="003E288B" w:rsidP="003E288B">
      <w:pPr>
        <w:pStyle w:val="FootnoteText"/>
      </w:pPr>
      <w:r>
        <w:rPr>
          <w:rStyle w:val="FootnoteReference"/>
        </w:rPr>
        <w:footnoteRef/>
      </w:r>
      <w:r>
        <w:t xml:space="preserve"> Derived from the World Wildlife Fund’s Biogenic Footprint Carbon Calculator (2020), assuming a 50/50 split of </w:t>
      </w:r>
      <w:r w:rsidRPr="0023477C">
        <w:t>Cool Temperate | Spruce (Picea)</w:t>
      </w:r>
      <w:r>
        <w:t xml:space="preserve"> and Pine all (Pinus) biomass sources. Retrieved on August 19, 2024 from </w:t>
      </w:r>
      <w:hyperlink r:id="rId12" w:history="1">
        <w:r w:rsidR="0014392F" w:rsidRPr="004B4F7D">
          <w:rPr>
            <w:rStyle w:val="Hyperlink"/>
            <w:rFonts w:ascii="Franklin Gothic Book" w:hAnsi="Franklin Gothic Book"/>
            <w:noProof w:val="0"/>
            <w:sz w:val="18"/>
          </w:rPr>
          <w:t>https://files.worldwildlife.org/wwfcmsprod/misc/climate_forest/Biogenic_Carbon_Footprint_Calculator_2020.xlsx</w:t>
        </w:r>
      </w:hyperlink>
      <w:r w:rsidR="0014392F">
        <w:t xml:space="preserve"> </w:t>
      </w:r>
    </w:p>
  </w:footnote>
  <w:footnote w:id="21">
    <w:p w14:paraId="6C6E3F16" w14:textId="059B93FF" w:rsidR="003E288B" w:rsidRDefault="003E288B" w:rsidP="003E288B">
      <w:pPr>
        <w:pStyle w:val="FootnoteText"/>
      </w:pPr>
      <w:r>
        <w:rPr>
          <w:rStyle w:val="FootnoteReference"/>
        </w:rPr>
        <w:footnoteRef/>
      </w:r>
      <w:r>
        <w:t xml:space="preserve"> The </w:t>
      </w:r>
      <w:r w:rsidR="00BC7151">
        <w:t>N</w:t>
      </w:r>
      <w:r>
        <w:t xml:space="preserve">ortheast </w:t>
      </w:r>
      <w:r w:rsidR="00C624DD">
        <w:t xml:space="preserve">in this document </w:t>
      </w:r>
      <w:r>
        <w:t>includes Connecticut, Maine, Massachusetts, New Hampshire, New York, Rhode Island, and Vermont.</w:t>
      </w:r>
    </w:p>
  </w:footnote>
  <w:footnote w:id="22">
    <w:p w14:paraId="7A15A133" w14:textId="42B6A1FF" w:rsidR="000A3374" w:rsidRPr="001B0413" w:rsidRDefault="000A3374" w:rsidP="000A3374">
      <w:pPr>
        <w:pStyle w:val="FootnoteText"/>
      </w:pPr>
      <w:r w:rsidRPr="001B0413">
        <w:rPr>
          <w:rStyle w:val="FootnoteReference"/>
        </w:rPr>
        <w:footnoteRef/>
      </w:r>
      <w:r w:rsidRPr="001B0413">
        <w:t xml:space="preserve"> </w:t>
      </w:r>
      <w:r w:rsidR="00E03AB9" w:rsidRPr="00E03AB9">
        <w:t>Derived from NMR Group, 2020 Vermont Single Family Existing Homes Baseline Study and NMR Group, 2020 Vermont Multifamily Residential Baseline Study. Assumes 50%/50% split between wood stoves and gas fireplaces. Gas fireplaces are split between natural gas and propane according to survey results for each fuel. The single family and multifamily results are combined for the “unknown” building type category by weighting according to the population of each building type in the respective studies.</w:t>
      </w:r>
    </w:p>
  </w:footnote>
  <w:footnote w:id="23">
    <w:p w14:paraId="063347D7" w14:textId="77777777" w:rsidR="002203CC" w:rsidRDefault="002203CC" w:rsidP="002203CC">
      <w:pPr>
        <w:pStyle w:val="FootnoteText"/>
      </w:pPr>
      <w:r>
        <w:rPr>
          <w:rStyle w:val="FootnoteReference"/>
        </w:rPr>
        <w:footnoteRef/>
      </w:r>
      <w:r>
        <w:t xml:space="preserve"> Derived from the </w:t>
      </w:r>
      <w:r w:rsidRPr="009E0D23">
        <w:t xml:space="preserve">Greenhouse gases, Regulated Emissions, and Energy use in Technologies </w:t>
      </w:r>
      <w:r>
        <w:t xml:space="preserve">(GREET) </w:t>
      </w:r>
      <w:r w:rsidRPr="009E0D23">
        <w:t xml:space="preserve">Model </w:t>
      </w:r>
      <w:r>
        <w:t>(2023rev1 Release) as the weighted average lower heating value of wood feedstocks, pine and maple/beech/birch.</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81CDCC" w14:textId="77777777" w:rsidR="00A5705E" w:rsidRDefault="00A5705E" w:rsidP="00AE2204">
    <w:r>
      <w:rPr>
        <w:noProof/>
      </w:rPr>
      <w:drawing>
        <wp:anchor distT="0" distB="0" distL="114300" distR="114300" simplePos="0" relativeHeight="251664384" behindDoc="1" locked="0" layoutInCell="1" allowOverlap="1" wp14:anchorId="6AF9E7FC" wp14:editId="1045A77C">
          <wp:simplePos x="0" y="0"/>
          <wp:positionH relativeFrom="margin">
            <wp:posOffset>-157480</wp:posOffset>
          </wp:positionH>
          <wp:positionV relativeFrom="paragraph">
            <wp:posOffset>-515620</wp:posOffset>
          </wp:positionV>
          <wp:extent cx="7746414" cy="10481042"/>
          <wp:effectExtent l="0" t="0" r="6985" b="0"/>
          <wp:wrapNone/>
          <wp:docPr id="1617978216" name="Picture 1617978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85"/>
                  <pic:cNvPicPr/>
                </pic:nvPicPr>
                <pic:blipFill>
                  <a:blip r:embed="rId1">
                    <a:extLst>
                      <a:ext uri="{28A0092B-C50C-407E-A947-70E740481C1C}">
                        <a14:useLocalDpi xmlns:a14="http://schemas.microsoft.com/office/drawing/2010/main" val="0"/>
                      </a:ext>
                    </a:extLst>
                  </a:blip>
                  <a:stretch>
                    <a:fillRect/>
                  </a:stretch>
                </pic:blipFill>
                <pic:spPr>
                  <a:xfrm>
                    <a:off x="0" y="0"/>
                    <a:ext cx="7746414" cy="10481042"/>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5408" behindDoc="0" locked="1" layoutInCell="1" allowOverlap="1" wp14:anchorId="5B36FA1D" wp14:editId="672621F8">
          <wp:simplePos x="0" y="0"/>
          <wp:positionH relativeFrom="page">
            <wp:posOffset>0</wp:posOffset>
          </wp:positionH>
          <wp:positionV relativeFrom="page">
            <wp:posOffset>0</wp:posOffset>
          </wp:positionV>
          <wp:extent cx="7896225" cy="266700"/>
          <wp:effectExtent l="0" t="0" r="9525" b="0"/>
          <wp:wrapThrough wrapText="bothSides">
            <wp:wrapPolygon edited="0">
              <wp:start x="0" y="0"/>
              <wp:lineTo x="0" y="20057"/>
              <wp:lineTo x="21574" y="20057"/>
              <wp:lineTo x="21574" y="0"/>
              <wp:lineTo x="0" y="0"/>
            </wp:wrapPolygon>
          </wp:wrapThrough>
          <wp:docPr id="435247808" name="Picture 435247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4"/>
                  <pic:cNvPicPr/>
                </pic:nvPicPr>
                <pic:blipFill>
                  <a:blip r:embed="rId2">
                    <a:extLst>
                      <a:ext uri="{28A0092B-C50C-407E-A947-70E740481C1C}">
                        <a14:useLocalDpi xmlns:a14="http://schemas.microsoft.com/office/drawing/2010/main" val="0"/>
                      </a:ext>
                    </a:extLst>
                  </a:blip>
                  <a:stretch>
                    <a:fillRect/>
                  </a:stretch>
                </pic:blipFill>
                <pic:spPr>
                  <a:xfrm>
                    <a:off x="0" y="0"/>
                    <a:ext cx="7896225" cy="2667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8798B9" w14:textId="77777777" w:rsidR="00D46533" w:rsidRDefault="00D46533" w:rsidP="00AE2204">
    <w:r>
      <w:rPr>
        <w:noProof/>
      </w:rPr>
      <w:drawing>
        <wp:anchor distT="0" distB="0" distL="114300" distR="114300" simplePos="0" relativeHeight="251682816" behindDoc="0" locked="1" layoutInCell="1" allowOverlap="1" wp14:anchorId="3F361191" wp14:editId="184CCFD4">
          <wp:simplePos x="0" y="0"/>
          <wp:positionH relativeFrom="page">
            <wp:posOffset>0</wp:posOffset>
          </wp:positionH>
          <wp:positionV relativeFrom="page">
            <wp:posOffset>0</wp:posOffset>
          </wp:positionV>
          <wp:extent cx="7896225" cy="266700"/>
          <wp:effectExtent l="0" t="0" r="9525" b="0"/>
          <wp:wrapThrough wrapText="bothSides">
            <wp:wrapPolygon edited="0">
              <wp:start x="0" y="0"/>
              <wp:lineTo x="0" y="20057"/>
              <wp:lineTo x="21574" y="20057"/>
              <wp:lineTo x="21574" y="0"/>
              <wp:lineTo x="0" y="0"/>
            </wp:wrapPolygon>
          </wp:wrapThrough>
          <wp:docPr id="1343958068" name="Picture 1343958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4"/>
                  <pic:cNvPicPr/>
                </pic:nvPicPr>
                <pic:blipFill>
                  <a:blip r:embed="rId1">
                    <a:extLst>
                      <a:ext uri="{28A0092B-C50C-407E-A947-70E740481C1C}">
                        <a14:useLocalDpi xmlns:a14="http://schemas.microsoft.com/office/drawing/2010/main" val="0"/>
                      </a:ext>
                    </a:extLst>
                  </a:blip>
                  <a:stretch>
                    <a:fillRect/>
                  </a:stretch>
                </pic:blipFill>
                <pic:spPr>
                  <a:xfrm>
                    <a:off x="0" y="0"/>
                    <a:ext cx="7896225" cy="2667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E36CD5" w14:textId="77777777" w:rsidR="00344C23" w:rsidRDefault="00344C23"/>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C4128A38"/>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75F80716"/>
    <w:lvl w:ilvl="0">
      <w:start w:val="1"/>
      <w:numFmt w:val="bullet"/>
      <w:pStyle w:val="Bullet1"/>
      <w:lvlText w:val=""/>
      <w:lvlJc w:val="left"/>
      <w:pPr>
        <w:ind w:left="720" w:hanging="360"/>
      </w:pPr>
      <w:rPr>
        <w:rFonts w:ascii="Wingdings" w:hAnsi="Wingdings" w:hint="default"/>
        <w:color w:val="053572"/>
        <w:sz w:val="22"/>
      </w:rPr>
    </w:lvl>
    <w:lvl w:ilvl="1">
      <w:start w:val="1"/>
      <w:numFmt w:val="bullet"/>
      <w:lvlText w:val=""/>
      <w:lvlJc w:val="left"/>
      <w:pPr>
        <w:ind w:left="1080" w:hanging="360"/>
      </w:pPr>
      <w:rPr>
        <w:rFonts w:ascii="Wingdings" w:hAnsi="Wingdings" w:hint="default"/>
        <w:color w:val="1295D8"/>
        <w:sz w:val="22"/>
      </w:rPr>
    </w:lvl>
    <w:lvl w:ilvl="2">
      <w:start w:val="1"/>
      <w:numFmt w:val="bullet"/>
      <w:lvlRestart w:val="0"/>
      <w:lvlText w:val=""/>
      <w:lvlJc w:val="left"/>
      <w:pPr>
        <w:tabs>
          <w:tab w:val="num" w:pos="1080"/>
        </w:tabs>
        <w:ind w:left="1440" w:hanging="360"/>
      </w:pPr>
      <w:rPr>
        <w:rFonts w:ascii="Wingdings" w:hAnsi="Wingdings" w:hint="default"/>
        <w:color w:val="4D4D4F"/>
        <w:sz w:val="22"/>
      </w:rPr>
    </w:lvl>
    <w:lvl w:ilvl="3">
      <w:start w:val="1"/>
      <w:numFmt w:val="bullet"/>
      <w:lvlText w:val=""/>
      <w:lvlJc w:val="left"/>
      <w:pPr>
        <w:ind w:left="2160" w:hanging="432"/>
      </w:pPr>
      <w:rPr>
        <w:rFonts w:ascii="Wingdings" w:hAnsi="Wingdings" w:cs="Times New Roman" w:hint="default"/>
        <w:b w:val="0"/>
        <w:bCs w:val="0"/>
        <w:i w:val="0"/>
        <w:iCs w:val="0"/>
        <w:caps w:val="0"/>
        <w:smallCaps w:val="0"/>
        <w:strike w:val="0"/>
        <w:dstrike w:val="0"/>
        <w:noProof w:val="0"/>
        <w:vanish w:val="0"/>
        <w:color w:val="0069B6"/>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bullet"/>
      <w:lvlText w:val=""/>
      <w:lvlJc w:val="left"/>
      <w:pPr>
        <w:ind w:left="3600" w:hanging="360"/>
      </w:pPr>
      <w:rPr>
        <w:rFonts w:ascii="Wingdings" w:hAnsi="Wingdings" w:hint="default"/>
        <w:color w:val="64B3E8"/>
      </w:rPr>
    </w:lvl>
    <w:lvl w:ilvl="5">
      <w:start w:val="1"/>
      <w:numFmt w:val="bullet"/>
      <w:lvlText w:val=""/>
      <w:lvlJc w:val="left"/>
      <w:pPr>
        <w:ind w:left="4320" w:hanging="360"/>
      </w:pPr>
      <w:rPr>
        <w:rFonts w:ascii="Wingdings" w:hAnsi="Wingdings" w:hint="default"/>
        <w:color w:val="696969"/>
      </w:rPr>
    </w:lvl>
    <w:lvl w:ilvl="6">
      <w:start w:val="1"/>
      <w:numFmt w:val="bullet"/>
      <w:lvlText w:val=""/>
      <w:lvlJc w:val="left"/>
      <w:pPr>
        <w:ind w:left="5040" w:hanging="360"/>
      </w:pPr>
      <w:rPr>
        <w:rFonts w:ascii="Wingdings" w:hAnsi="Wingdings" w:hint="default"/>
        <w:color w:val="172B54" w:themeColor="accent1"/>
      </w:rPr>
    </w:lvl>
    <w:lvl w:ilvl="7">
      <w:start w:val="1"/>
      <w:numFmt w:val="bullet"/>
      <w:lvlText w:val=""/>
      <w:lvlJc w:val="left"/>
      <w:pPr>
        <w:ind w:left="5760" w:hanging="360"/>
      </w:pPr>
      <w:rPr>
        <w:rFonts w:ascii="Wingdings" w:hAnsi="Wingdings" w:hint="default"/>
        <w:color w:val="265EAC" w:themeColor="accent2"/>
      </w:rPr>
    </w:lvl>
    <w:lvl w:ilvl="8">
      <w:start w:val="1"/>
      <w:numFmt w:val="bullet"/>
      <w:lvlText w:val=""/>
      <w:lvlJc w:val="left"/>
      <w:pPr>
        <w:ind w:left="6480" w:hanging="360"/>
      </w:pPr>
      <w:rPr>
        <w:rFonts w:ascii="Wingdings" w:hAnsi="Wingdings" w:hint="default"/>
        <w:color w:val="1FA9E1" w:themeColor="accent3"/>
      </w:rPr>
    </w:lvl>
  </w:abstractNum>
  <w:abstractNum w:abstractNumId="2" w15:restartNumberingAfterBreak="0">
    <w:nsid w:val="00000002"/>
    <w:multiLevelType w:val="multilevel"/>
    <w:tmpl w:val="75F80716"/>
    <w:lvl w:ilvl="0">
      <w:start w:val="1"/>
      <w:numFmt w:val="bullet"/>
      <w:pStyle w:val="Bullet2"/>
      <w:lvlText w:val=""/>
      <w:lvlJc w:val="left"/>
      <w:pPr>
        <w:ind w:left="720" w:hanging="360"/>
      </w:pPr>
      <w:rPr>
        <w:rFonts w:ascii="Wingdings" w:hAnsi="Wingdings" w:hint="default"/>
        <w:color w:val="053572"/>
        <w:sz w:val="22"/>
      </w:rPr>
    </w:lvl>
    <w:lvl w:ilvl="1">
      <w:start w:val="1"/>
      <w:numFmt w:val="bullet"/>
      <w:pStyle w:val="Bullet2"/>
      <w:lvlText w:val=""/>
      <w:lvlJc w:val="left"/>
      <w:pPr>
        <w:ind w:left="1080" w:hanging="360"/>
      </w:pPr>
      <w:rPr>
        <w:rFonts w:ascii="Wingdings" w:hAnsi="Wingdings" w:hint="default"/>
        <w:color w:val="1295D8"/>
        <w:sz w:val="22"/>
      </w:rPr>
    </w:lvl>
    <w:lvl w:ilvl="2">
      <w:start w:val="1"/>
      <w:numFmt w:val="bullet"/>
      <w:lvlRestart w:val="0"/>
      <w:lvlText w:val=""/>
      <w:lvlJc w:val="left"/>
      <w:pPr>
        <w:tabs>
          <w:tab w:val="num" w:pos="1080"/>
        </w:tabs>
        <w:ind w:left="1440" w:hanging="360"/>
      </w:pPr>
      <w:rPr>
        <w:rFonts w:ascii="Wingdings" w:hAnsi="Wingdings" w:hint="default"/>
        <w:color w:val="4D4D4F"/>
        <w:sz w:val="22"/>
      </w:rPr>
    </w:lvl>
    <w:lvl w:ilvl="3">
      <w:start w:val="1"/>
      <w:numFmt w:val="bullet"/>
      <w:lvlText w:val=""/>
      <w:lvlJc w:val="left"/>
      <w:pPr>
        <w:ind w:left="2160" w:hanging="432"/>
      </w:pPr>
      <w:rPr>
        <w:rFonts w:ascii="Wingdings" w:hAnsi="Wingdings" w:cs="Times New Roman" w:hint="default"/>
        <w:b w:val="0"/>
        <w:bCs w:val="0"/>
        <w:i w:val="0"/>
        <w:iCs w:val="0"/>
        <w:caps w:val="0"/>
        <w:smallCaps w:val="0"/>
        <w:strike w:val="0"/>
        <w:dstrike w:val="0"/>
        <w:noProof w:val="0"/>
        <w:vanish w:val="0"/>
        <w:color w:val="0069B6"/>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bullet"/>
      <w:lvlText w:val=""/>
      <w:lvlJc w:val="left"/>
      <w:pPr>
        <w:ind w:left="3600" w:hanging="360"/>
      </w:pPr>
      <w:rPr>
        <w:rFonts w:ascii="Wingdings" w:hAnsi="Wingdings" w:hint="default"/>
        <w:color w:val="64B3E8"/>
      </w:rPr>
    </w:lvl>
    <w:lvl w:ilvl="5">
      <w:start w:val="1"/>
      <w:numFmt w:val="bullet"/>
      <w:lvlText w:val=""/>
      <w:lvlJc w:val="left"/>
      <w:pPr>
        <w:ind w:left="4320" w:hanging="360"/>
      </w:pPr>
      <w:rPr>
        <w:rFonts w:ascii="Wingdings" w:hAnsi="Wingdings" w:hint="default"/>
        <w:color w:val="696969"/>
      </w:rPr>
    </w:lvl>
    <w:lvl w:ilvl="6">
      <w:start w:val="1"/>
      <w:numFmt w:val="bullet"/>
      <w:lvlText w:val=""/>
      <w:lvlJc w:val="left"/>
      <w:pPr>
        <w:ind w:left="5040" w:hanging="360"/>
      </w:pPr>
      <w:rPr>
        <w:rFonts w:ascii="Wingdings" w:hAnsi="Wingdings" w:hint="default"/>
        <w:color w:val="172B54" w:themeColor="accent1"/>
      </w:rPr>
    </w:lvl>
    <w:lvl w:ilvl="7">
      <w:start w:val="1"/>
      <w:numFmt w:val="bullet"/>
      <w:lvlText w:val=""/>
      <w:lvlJc w:val="left"/>
      <w:pPr>
        <w:ind w:left="5760" w:hanging="360"/>
      </w:pPr>
      <w:rPr>
        <w:rFonts w:ascii="Wingdings" w:hAnsi="Wingdings" w:hint="default"/>
        <w:color w:val="265EAC" w:themeColor="accent2"/>
      </w:rPr>
    </w:lvl>
    <w:lvl w:ilvl="8">
      <w:start w:val="1"/>
      <w:numFmt w:val="bullet"/>
      <w:lvlText w:val=""/>
      <w:lvlJc w:val="left"/>
      <w:pPr>
        <w:ind w:left="6480" w:hanging="360"/>
      </w:pPr>
      <w:rPr>
        <w:rFonts w:ascii="Wingdings" w:hAnsi="Wingdings" w:hint="default"/>
        <w:color w:val="1FA9E1" w:themeColor="accent3"/>
      </w:rPr>
    </w:lvl>
  </w:abstractNum>
  <w:abstractNum w:abstractNumId="3" w15:restartNumberingAfterBreak="0">
    <w:nsid w:val="00000003"/>
    <w:multiLevelType w:val="multilevel"/>
    <w:tmpl w:val="75F80716"/>
    <w:lvl w:ilvl="0">
      <w:start w:val="1"/>
      <w:numFmt w:val="bullet"/>
      <w:lvlText w:val=""/>
      <w:lvlJc w:val="left"/>
      <w:pPr>
        <w:ind w:left="720" w:hanging="360"/>
      </w:pPr>
      <w:rPr>
        <w:rFonts w:ascii="Wingdings" w:hAnsi="Wingdings" w:hint="default"/>
        <w:color w:val="053572"/>
        <w:sz w:val="22"/>
      </w:rPr>
    </w:lvl>
    <w:lvl w:ilvl="1">
      <w:start w:val="1"/>
      <w:numFmt w:val="bullet"/>
      <w:pStyle w:val="Bullet3"/>
      <w:lvlText w:val=""/>
      <w:lvlJc w:val="left"/>
      <w:pPr>
        <w:ind w:left="1080" w:hanging="360"/>
      </w:pPr>
      <w:rPr>
        <w:rFonts w:ascii="Wingdings" w:hAnsi="Wingdings" w:hint="default"/>
        <w:color w:val="1295D8"/>
        <w:sz w:val="22"/>
      </w:rPr>
    </w:lvl>
    <w:lvl w:ilvl="2">
      <w:start w:val="1"/>
      <w:numFmt w:val="bullet"/>
      <w:lvlRestart w:val="0"/>
      <w:pStyle w:val="Bullet3"/>
      <w:lvlText w:val=""/>
      <w:lvlJc w:val="left"/>
      <w:pPr>
        <w:tabs>
          <w:tab w:val="num" w:pos="1080"/>
        </w:tabs>
        <w:ind w:left="1440" w:hanging="360"/>
      </w:pPr>
      <w:rPr>
        <w:rFonts w:ascii="Wingdings" w:hAnsi="Wingdings" w:hint="default"/>
        <w:color w:val="4D4D4F"/>
        <w:sz w:val="22"/>
      </w:rPr>
    </w:lvl>
    <w:lvl w:ilvl="3">
      <w:start w:val="1"/>
      <w:numFmt w:val="bullet"/>
      <w:lvlText w:val=""/>
      <w:lvlJc w:val="left"/>
      <w:pPr>
        <w:ind w:left="2160" w:hanging="432"/>
      </w:pPr>
      <w:rPr>
        <w:rFonts w:ascii="Wingdings" w:hAnsi="Wingdings" w:cs="Times New Roman" w:hint="default"/>
        <w:b w:val="0"/>
        <w:bCs w:val="0"/>
        <w:i w:val="0"/>
        <w:iCs w:val="0"/>
        <w:caps w:val="0"/>
        <w:smallCaps w:val="0"/>
        <w:strike w:val="0"/>
        <w:dstrike w:val="0"/>
        <w:noProof w:val="0"/>
        <w:vanish w:val="0"/>
        <w:color w:val="0069B6"/>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bullet"/>
      <w:lvlText w:val=""/>
      <w:lvlJc w:val="left"/>
      <w:pPr>
        <w:ind w:left="3600" w:hanging="360"/>
      </w:pPr>
      <w:rPr>
        <w:rFonts w:ascii="Wingdings" w:hAnsi="Wingdings" w:hint="default"/>
        <w:color w:val="64B3E8"/>
      </w:rPr>
    </w:lvl>
    <w:lvl w:ilvl="5">
      <w:start w:val="1"/>
      <w:numFmt w:val="bullet"/>
      <w:lvlText w:val=""/>
      <w:lvlJc w:val="left"/>
      <w:pPr>
        <w:ind w:left="4320" w:hanging="360"/>
      </w:pPr>
      <w:rPr>
        <w:rFonts w:ascii="Wingdings" w:hAnsi="Wingdings" w:hint="default"/>
        <w:color w:val="696969"/>
      </w:rPr>
    </w:lvl>
    <w:lvl w:ilvl="6">
      <w:start w:val="1"/>
      <w:numFmt w:val="bullet"/>
      <w:lvlText w:val=""/>
      <w:lvlJc w:val="left"/>
      <w:pPr>
        <w:ind w:left="5040" w:hanging="360"/>
      </w:pPr>
      <w:rPr>
        <w:rFonts w:ascii="Wingdings" w:hAnsi="Wingdings" w:hint="default"/>
        <w:color w:val="172B54" w:themeColor="accent1"/>
      </w:rPr>
    </w:lvl>
    <w:lvl w:ilvl="7">
      <w:start w:val="1"/>
      <w:numFmt w:val="bullet"/>
      <w:lvlText w:val=""/>
      <w:lvlJc w:val="left"/>
      <w:pPr>
        <w:ind w:left="5760" w:hanging="360"/>
      </w:pPr>
      <w:rPr>
        <w:rFonts w:ascii="Wingdings" w:hAnsi="Wingdings" w:hint="default"/>
        <w:color w:val="265EAC" w:themeColor="accent2"/>
      </w:rPr>
    </w:lvl>
    <w:lvl w:ilvl="8">
      <w:start w:val="1"/>
      <w:numFmt w:val="bullet"/>
      <w:lvlText w:val=""/>
      <w:lvlJc w:val="left"/>
      <w:pPr>
        <w:ind w:left="6480" w:hanging="360"/>
      </w:pPr>
      <w:rPr>
        <w:rFonts w:ascii="Wingdings" w:hAnsi="Wingdings" w:hint="default"/>
        <w:color w:val="1FA9E1" w:themeColor="accent3"/>
      </w:rPr>
    </w:lvl>
  </w:abstractNum>
  <w:abstractNum w:abstractNumId="4" w15:restartNumberingAfterBreak="0">
    <w:nsid w:val="00000004"/>
    <w:multiLevelType w:val="hybridMultilevel"/>
    <w:tmpl w:val="1B8E5A38"/>
    <w:lvl w:ilvl="0" w:tplc="7AF6CC48">
      <w:start w:val="1"/>
      <w:numFmt w:val="decimal"/>
      <w:pStyle w:val="CaptionFigure"/>
      <w:suff w:val="space"/>
      <w:lvlText w:val="Figure %1."/>
      <w:lvlJc w:val="left"/>
      <w:pPr>
        <w:ind w:left="0" w:firstLine="0"/>
      </w:pPr>
      <w:rPr>
        <w:rFonts w:hint="default"/>
      </w:rPr>
    </w:lvl>
    <w:lvl w:ilvl="1" w:tplc="7BF24E5E" w:tentative="1">
      <w:start w:val="1"/>
      <w:numFmt w:val="lowerLetter"/>
      <w:lvlText w:val="%2."/>
      <w:lvlJc w:val="left"/>
      <w:pPr>
        <w:ind w:left="1440" w:hanging="360"/>
      </w:pPr>
    </w:lvl>
    <w:lvl w:ilvl="2" w:tplc="F168DD18" w:tentative="1">
      <w:start w:val="1"/>
      <w:numFmt w:val="lowerRoman"/>
      <w:lvlText w:val="%3."/>
      <w:lvlJc w:val="right"/>
      <w:pPr>
        <w:ind w:left="2160" w:hanging="180"/>
      </w:pPr>
    </w:lvl>
    <w:lvl w:ilvl="3" w:tplc="A60EEB6E" w:tentative="1">
      <w:start w:val="1"/>
      <w:numFmt w:val="decimal"/>
      <w:lvlText w:val="%4."/>
      <w:lvlJc w:val="left"/>
      <w:pPr>
        <w:ind w:left="2880" w:hanging="360"/>
      </w:pPr>
    </w:lvl>
    <w:lvl w:ilvl="4" w:tplc="A17489F8" w:tentative="1">
      <w:start w:val="1"/>
      <w:numFmt w:val="lowerLetter"/>
      <w:lvlText w:val="%5."/>
      <w:lvlJc w:val="left"/>
      <w:pPr>
        <w:ind w:left="3600" w:hanging="360"/>
      </w:pPr>
    </w:lvl>
    <w:lvl w:ilvl="5" w:tplc="600C179E" w:tentative="1">
      <w:start w:val="1"/>
      <w:numFmt w:val="lowerRoman"/>
      <w:lvlText w:val="%6."/>
      <w:lvlJc w:val="right"/>
      <w:pPr>
        <w:ind w:left="4320" w:hanging="180"/>
      </w:pPr>
    </w:lvl>
    <w:lvl w:ilvl="6" w:tplc="6E02CEE4" w:tentative="1">
      <w:start w:val="1"/>
      <w:numFmt w:val="decimal"/>
      <w:lvlText w:val="%7."/>
      <w:lvlJc w:val="left"/>
      <w:pPr>
        <w:ind w:left="5040" w:hanging="360"/>
      </w:pPr>
    </w:lvl>
    <w:lvl w:ilvl="7" w:tplc="BF0A646A" w:tentative="1">
      <w:start w:val="1"/>
      <w:numFmt w:val="lowerLetter"/>
      <w:lvlText w:val="%8."/>
      <w:lvlJc w:val="left"/>
      <w:pPr>
        <w:ind w:left="5760" w:hanging="360"/>
      </w:pPr>
    </w:lvl>
    <w:lvl w:ilvl="8" w:tplc="CC1CF72C" w:tentative="1">
      <w:start w:val="1"/>
      <w:numFmt w:val="lowerRoman"/>
      <w:lvlText w:val="%9."/>
      <w:lvlJc w:val="right"/>
      <w:pPr>
        <w:ind w:left="6480" w:hanging="180"/>
      </w:pPr>
    </w:lvl>
  </w:abstractNum>
  <w:abstractNum w:abstractNumId="5" w15:restartNumberingAfterBreak="0">
    <w:nsid w:val="00000005"/>
    <w:multiLevelType w:val="hybridMultilevel"/>
    <w:tmpl w:val="F0A220D0"/>
    <w:lvl w:ilvl="0" w:tplc="5B1CC83A">
      <w:start w:val="1"/>
      <w:numFmt w:val="decimal"/>
      <w:pStyle w:val="CaptionTable"/>
      <w:suff w:val="space"/>
      <w:lvlText w:val="Table %1."/>
      <w:lvlJc w:val="left"/>
      <w:pPr>
        <w:ind w:left="0" w:firstLine="0"/>
      </w:pPr>
      <w:rPr>
        <w:rFonts w:hint="default"/>
      </w:rPr>
    </w:lvl>
    <w:lvl w:ilvl="1" w:tplc="093EE0BA" w:tentative="1">
      <w:start w:val="1"/>
      <w:numFmt w:val="lowerLetter"/>
      <w:lvlText w:val="%2."/>
      <w:lvlJc w:val="left"/>
      <w:pPr>
        <w:ind w:left="1440" w:hanging="360"/>
      </w:pPr>
    </w:lvl>
    <w:lvl w:ilvl="2" w:tplc="D1D43996" w:tentative="1">
      <w:start w:val="1"/>
      <w:numFmt w:val="lowerRoman"/>
      <w:lvlText w:val="%3."/>
      <w:lvlJc w:val="right"/>
      <w:pPr>
        <w:ind w:left="2160" w:hanging="180"/>
      </w:pPr>
    </w:lvl>
    <w:lvl w:ilvl="3" w:tplc="90EEA078" w:tentative="1">
      <w:start w:val="1"/>
      <w:numFmt w:val="decimal"/>
      <w:lvlText w:val="%4."/>
      <w:lvlJc w:val="left"/>
      <w:pPr>
        <w:ind w:left="2880" w:hanging="360"/>
      </w:pPr>
    </w:lvl>
    <w:lvl w:ilvl="4" w:tplc="A7F4AC76" w:tentative="1">
      <w:start w:val="1"/>
      <w:numFmt w:val="lowerLetter"/>
      <w:lvlText w:val="%5."/>
      <w:lvlJc w:val="left"/>
      <w:pPr>
        <w:ind w:left="3600" w:hanging="360"/>
      </w:pPr>
    </w:lvl>
    <w:lvl w:ilvl="5" w:tplc="D066842C" w:tentative="1">
      <w:start w:val="1"/>
      <w:numFmt w:val="lowerRoman"/>
      <w:lvlText w:val="%6."/>
      <w:lvlJc w:val="right"/>
      <w:pPr>
        <w:ind w:left="4320" w:hanging="180"/>
      </w:pPr>
    </w:lvl>
    <w:lvl w:ilvl="6" w:tplc="FA6A41E6" w:tentative="1">
      <w:start w:val="1"/>
      <w:numFmt w:val="decimal"/>
      <w:lvlText w:val="%7."/>
      <w:lvlJc w:val="left"/>
      <w:pPr>
        <w:ind w:left="5040" w:hanging="360"/>
      </w:pPr>
    </w:lvl>
    <w:lvl w:ilvl="7" w:tplc="78885896" w:tentative="1">
      <w:start w:val="1"/>
      <w:numFmt w:val="lowerLetter"/>
      <w:lvlText w:val="%8."/>
      <w:lvlJc w:val="left"/>
      <w:pPr>
        <w:ind w:left="5760" w:hanging="360"/>
      </w:pPr>
    </w:lvl>
    <w:lvl w:ilvl="8" w:tplc="DA024234" w:tentative="1">
      <w:start w:val="1"/>
      <w:numFmt w:val="lowerRoman"/>
      <w:lvlText w:val="%9."/>
      <w:lvlJc w:val="right"/>
      <w:pPr>
        <w:ind w:left="6480" w:hanging="180"/>
      </w:pPr>
    </w:lvl>
  </w:abstractNum>
  <w:abstractNum w:abstractNumId="6" w15:restartNumberingAfterBreak="0">
    <w:nsid w:val="00000006"/>
    <w:multiLevelType w:val="multilevel"/>
    <w:tmpl w:val="882C8734"/>
    <w:lvl w:ilvl="0">
      <w:start w:val="1"/>
      <w:numFmt w:val="decimal"/>
      <w:pStyle w:val="Heading1"/>
      <w:lvlText w:val="%1."/>
      <w:lvlJc w:val="left"/>
      <w:pPr>
        <w:tabs>
          <w:tab w:val="num" w:pos="1080"/>
        </w:tabs>
        <w:ind w:left="0" w:firstLine="0"/>
      </w:pPr>
      <w:rPr>
        <w:rFonts w:hint="default"/>
      </w:rPr>
    </w:lvl>
    <w:lvl w:ilvl="1">
      <w:start w:val="1"/>
      <w:numFmt w:val="decimal"/>
      <w:pStyle w:val="Heading2"/>
      <w:lvlText w:val="%1.%2"/>
      <w:lvlJc w:val="left"/>
      <w:pPr>
        <w:tabs>
          <w:tab w:val="num" w:pos="1080"/>
        </w:tabs>
        <w:ind w:left="0" w:firstLine="0"/>
      </w:pPr>
    </w:lvl>
    <w:lvl w:ilvl="2">
      <w:start w:val="1"/>
      <w:numFmt w:val="decimal"/>
      <w:pStyle w:val="Heading3"/>
      <w:lvlText w:val="%1.%2.%3"/>
      <w:lvlJc w:val="left"/>
      <w:pPr>
        <w:tabs>
          <w:tab w:val="num" w:pos="1080"/>
        </w:tabs>
        <w:ind w:left="0" w:firstLine="0"/>
      </w:pPr>
      <w:rPr>
        <w:rFonts w:cs="Times New Roman"/>
        <w:b w:val="0"/>
        <w:bCs w:val="0"/>
        <w:i w:val="0"/>
        <w:iCs w:val="0"/>
        <w:caps w:val="0"/>
        <w:smallCaps w:val="0"/>
        <w:strike w:val="0"/>
        <w:dstrike w:val="0"/>
        <w:outline w:val="0"/>
        <w:shadow w:val="0"/>
        <w:emboss w:val="0"/>
        <w:imprint w:val="0"/>
        <w:noProof w:val="0"/>
        <w:vanish w:val="0"/>
        <w:color w:val="1FA9E1" w:themeColor="accent3"/>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warmMatte"/>
        <w14:ligatures w14:val="none"/>
        <w14:numForm w14:val="default"/>
        <w14:numSpacing w14:val="default"/>
        <w14:stylisticSets/>
        <w14:cntxtAlts w14:val="0"/>
      </w:rPr>
    </w:lvl>
    <w:lvl w:ilvl="3">
      <w:start w:val="1"/>
      <w:numFmt w:val="decimal"/>
      <w:lvlText w:val="%1.%2.%3.%4"/>
      <w:lvlJc w:val="left"/>
      <w:pPr>
        <w:tabs>
          <w:tab w:val="num" w:pos="360"/>
        </w:tabs>
        <w:ind w:left="0" w:firstLine="0"/>
      </w:pPr>
      <w:rPr>
        <w:rFonts w:hint="default"/>
      </w:rPr>
    </w:lvl>
    <w:lvl w:ilvl="4">
      <w:start w:val="1"/>
      <w:numFmt w:val="decimal"/>
      <w:lvlText w:val="%1.%2.%3.%4.%5"/>
      <w:lvlJc w:val="left"/>
      <w:pPr>
        <w:tabs>
          <w:tab w:val="num" w:pos="360"/>
        </w:tabs>
        <w:ind w:left="0" w:firstLine="0"/>
      </w:pPr>
      <w:rPr>
        <w:rFonts w:hint="default"/>
      </w:rPr>
    </w:lvl>
    <w:lvl w:ilvl="5">
      <w:start w:val="1"/>
      <w:numFmt w:val="decimal"/>
      <w:lvlText w:val="%1.%2.%3.%4.%5.%6"/>
      <w:lvlJc w:val="left"/>
      <w:pPr>
        <w:tabs>
          <w:tab w:val="num" w:pos="360"/>
        </w:tabs>
        <w:ind w:left="0" w:firstLine="0"/>
      </w:pPr>
      <w:rPr>
        <w:rFonts w:hint="default"/>
      </w:rPr>
    </w:lvl>
    <w:lvl w:ilvl="6">
      <w:start w:val="1"/>
      <w:numFmt w:val="decimal"/>
      <w:lvlText w:val="%1.%2.%3.%4.%5.%6.%7"/>
      <w:lvlJc w:val="left"/>
      <w:pPr>
        <w:tabs>
          <w:tab w:val="num" w:pos="360"/>
        </w:tabs>
        <w:ind w:left="0" w:firstLine="0"/>
      </w:pPr>
      <w:rPr>
        <w:rFonts w:hint="default"/>
      </w:rPr>
    </w:lvl>
    <w:lvl w:ilvl="7">
      <w:start w:val="1"/>
      <w:numFmt w:val="decimal"/>
      <w:lvlText w:val="%1.%2.%3.%4.%5.%6.%7.%8"/>
      <w:lvlJc w:val="left"/>
      <w:pPr>
        <w:tabs>
          <w:tab w:val="num" w:pos="360"/>
        </w:tabs>
        <w:ind w:left="0" w:firstLine="0"/>
      </w:pPr>
      <w:rPr>
        <w:rFonts w:hint="default"/>
      </w:rPr>
    </w:lvl>
    <w:lvl w:ilvl="8">
      <w:start w:val="1"/>
      <w:numFmt w:val="decimal"/>
      <w:lvlText w:val="%1.%2.%3.%4.%5.%6.%7.%8.%9"/>
      <w:lvlJc w:val="left"/>
      <w:pPr>
        <w:tabs>
          <w:tab w:val="num" w:pos="360"/>
        </w:tabs>
        <w:ind w:left="0" w:firstLine="0"/>
      </w:pPr>
      <w:rPr>
        <w:rFonts w:hint="default"/>
      </w:rPr>
    </w:lvl>
  </w:abstractNum>
  <w:abstractNum w:abstractNumId="7" w15:restartNumberingAfterBreak="0">
    <w:nsid w:val="00000009"/>
    <w:multiLevelType w:val="singleLevel"/>
    <w:tmpl w:val="01A6B67E"/>
    <w:lvl w:ilvl="0">
      <w:start w:val="1"/>
      <w:numFmt w:val="decimal"/>
      <w:pStyle w:val="ListNumber"/>
      <w:lvlText w:val="%1."/>
      <w:lvlJc w:val="left"/>
      <w:pPr>
        <w:tabs>
          <w:tab w:val="num" w:pos="360"/>
        </w:tabs>
        <w:ind w:left="360" w:hanging="360"/>
      </w:pPr>
    </w:lvl>
  </w:abstractNum>
  <w:abstractNum w:abstractNumId="8" w15:restartNumberingAfterBreak="0">
    <w:nsid w:val="0000000A"/>
    <w:multiLevelType w:val="singleLevel"/>
    <w:tmpl w:val="AB1A98D2"/>
    <w:lvl w:ilvl="0">
      <w:start w:val="1"/>
      <w:numFmt w:val="decimal"/>
      <w:pStyle w:val="ListNumber2"/>
      <w:lvlText w:val="%1."/>
      <w:lvlJc w:val="left"/>
      <w:pPr>
        <w:tabs>
          <w:tab w:val="num" w:pos="720"/>
        </w:tabs>
        <w:ind w:left="720" w:hanging="360"/>
      </w:pPr>
    </w:lvl>
  </w:abstractNum>
  <w:abstractNum w:abstractNumId="9" w15:restartNumberingAfterBreak="0">
    <w:nsid w:val="0000000B"/>
    <w:multiLevelType w:val="singleLevel"/>
    <w:tmpl w:val="57B63BE6"/>
    <w:lvl w:ilvl="0">
      <w:start w:val="1"/>
      <w:numFmt w:val="decimal"/>
      <w:pStyle w:val="ListNumber3"/>
      <w:lvlText w:val="%1."/>
      <w:lvlJc w:val="left"/>
      <w:pPr>
        <w:tabs>
          <w:tab w:val="num" w:pos="1080"/>
        </w:tabs>
        <w:ind w:left="1080" w:hanging="360"/>
      </w:pPr>
    </w:lvl>
  </w:abstractNum>
  <w:abstractNum w:abstractNumId="10" w15:restartNumberingAfterBreak="0">
    <w:nsid w:val="0000000C"/>
    <w:multiLevelType w:val="multilevel"/>
    <w:tmpl w:val="7C74D798"/>
    <w:lvl w:ilvl="0">
      <w:start w:val="1"/>
      <w:numFmt w:val="decimal"/>
      <w:pStyle w:val="NoList1"/>
      <w:lvlText w:val="%1."/>
      <w:lvlJc w:val="left"/>
      <w:pPr>
        <w:ind w:left="360" w:hanging="360"/>
      </w:pPr>
    </w:lvl>
    <w:lvl w:ilvl="1">
      <w:start w:val="1"/>
      <w:numFmt w:val="lowerLetter"/>
      <w:lvlText w:val="%2."/>
      <w:lvlJc w:val="left"/>
      <w:pPr>
        <w:ind w:left="720" w:hanging="360"/>
      </w:pPr>
      <w:rPr>
        <w:rFonts w:hint="default"/>
        <w:color w:val="auto"/>
      </w:rPr>
    </w:lvl>
    <w:lvl w:ilvl="2">
      <w:start w:val="1"/>
      <w:numFmt w:val="lowerRoman"/>
      <w:lvlText w:val="%3."/>
      <w:lvlJc w:val="left"/>
      <w:pPr>
        <w:ind w:left="1080" w:hanging="360"/>
      </w:pPr>
      <w:rPr>
        <w:rFonts w:hint="default"/>
        <w:color w:val="auto"/>
      </w:rPr>
    </w:lvl>
    <w:lvl w:ilvl="3">
      <w:start w:val="1"/>
      <w:numFmt w:val="decimal"/>
      <w:lvlText w:val="%4."/>
      <w:lvlJc w:val="left"/>
      <w:pPr>
        <w:ind w:left="1440" w:hanging="360"/>
      </w:pPr>
      <w:rPr>
        <w:rFonts w:hint="default"/>
        <w:color w:val="auto"/>
      </w:rPr>
    </w:lvl>
    <w:lvl w:ilvl="4">
      <w:start w:val="1"/>
      <w:numFmt w:val="lowerLetter"/>
      <w:lvlText w:val="%5."/>
      <w:lvlJc w:val="left"/>
      <w:pPr>
        <w:ind w:left="1800" w:hanging="360"/>
      </w:pPr>
      <w:rPr>
        <w:rFonts w:hint="default"/>
        <w:color w:val="auto"/>
      </w:rPr>
    </w:lvl>
    <w:lvl w:ilvl="5">
      <w:start w:val="1"/>
      <w:numFmt w:val="lowerRoman"/>
      <w:lvlText w:val="%6."/>
      <w:lvlJc w:val="left"/>
      <w:pPr>
        <w:ind w:left="2160" w:hanging="360"/>
      </w:pPr>
      <w:rPr>
        <w:rFonts w:hint="default"/>
        <w:color w:val="auto"/>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0000000D"/>
    <w:multiLevelType w:val="multilevel"/>
    <w:tmpl w:val="CA48C9AC"/>
    <w:lvl w:ilvl="0">
      <w:start w:val="1"/>
      <w:numFmt w:val="decimal"/>
      <w:lvlText w:val="%1."/>
      <w:lvlJc w:val="left"/>
      <w:pPr>
        <w:ind w:left="360" w:hanging="360"/>
      </w:pPr>
      <w:rPr>
        <w:rFonts w:hint="default"/>
        <w:b w:val="0"/>
        <w:i w:val="0"/>
        <w:color w:val="auto"/>
        <w:sz w:val="22"/>
      </w:rPr>
    </w:lvl>
    <w:lvl w:ilvl="1">
      <w:start w:val="1"/>
      <w:numFmt w:val="lowerLetter"/>
      <w:pStyle w:val="NoList2"/>
      <w:lvlText w:val="%2."/>
      <w:lvlJc w:val="left"/>
      <w:pPr>
        <w:ind w:left="720" w:hanging="360"/>
      </w:pPr>
    </w:lvl>
    <w:lvl w:ilvl="2">
      <w:start w:val="1"/>
      <w:numFmt w:val="lowerRoman"/>
      <w:lvlText w:val="%3."/>
      <w:lvlJc w:val="left"/>
      <w:pPr>
        <w:ind w:left="1080" w:hanging="360"/>
      </w:pPr>
      <w:rPr>
        <w:rFonts w:hint="default"/>
        <w:color w:val="auto"/>
      </w:rPr>
    </w:lvl>
    <w:lvl w:ilvl="3">
      <w:start w:val="1"/>
      <w:numFmt w:val="decimal"/>
      <w:lvlText w:val="%4."/>
      <w:lvlJc w:val="left"/>
      <w:pPr>
        <w:ind w:left="1440" w:hanging="360"/>
      </w:pPr>
      <w:rPr>
        <w:rFonts w:hint="default"/>
        <w:color w:val="auto"/>
      </w:rPr>
    </w:lvl>
    <w:lvl w:ilvl="4">
      <w:start w:val="1"/>
      <w:numFmt w:val="lowerLetter"/>
      <w:lvlText w:val="%5."/>
      <w:lvlJc w:val="left"/>
      <w:pPr>
        <w:ind w:left="1800" w:hanging="360"/>
      </w:pPr>
      <w:rPr>
        <w:rFonts w:hint="default"/>
        <w:color w:val="auto"/>
      </w:rPr>
    </w:lvl>
    <w:lvl w:ilvl="5">
      <w:start w:val="1"/>
      <w:numFmt w:val="lowerRoman"/>
      <w:lvlText w:val="%6."/>
      <w:lvlJc w:val="left"/>
      <w:pPr>
        <w:ind w:left="2160" w:hanging="360"/>
      </w:pPr>
      <w:rPr>
        <w:rFonts w:hint="default"/>
        <w:color w:val="auto"/>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0000000E"/>
    <w:multiLevelType w:val="multilevel"/>
    <w:tmpl w:val="73526CFC"/>
    <w:lvl w:ilvl="0">
      <w:start w:val="1"/>
      <w:numFmt w:val="decimal"/>
      <w:lvlText w:val="%1."/>
      <w:lvlJc w:val="left"/>
      <w:pPr>
        <w:ind w:left="360" w:hanging="360"/>
      </w:pPr>
      <w:rPr>
        <w:rFonts w:hint="default"/>
        <w:b w:val="0"/>
        <w:i w:val="0"/>
        <w:color w:val="auto"/>
        <w:sz w:val="22"/>
      </w:rPr>
    </w:lvl>
    <w:lvl w:ilvl="1">
      <w:start w:val="1"/>
      <w:numFmt w:val="lowerLetter"/>
      <w:lvlText w:val="%2."/>
      <w:lvlJc w:val="left"/>
      <w:pPr>
        <w:ind w:left="720" w:hanging="360"/>
      </w:pPr>
      <w:rPr>
        <w:rFonts w:hint="default"/>
        <w:color w:val="auto"/>
      </w:rPr>
    </w:lvl>
    <w:lvl w:ilvl="2">
      <w:start w:val="1"/>
      <w:numFmt w:val="lowerRoman"/>
      <w:pStyle w:val="NoList3"/>
      <w:lvlText w:val="%3."/>
      <w:lvlJc w:val="left"/>
      <w:pPr>
        <w:ind w:left="1080" w:hanging="360"/>
      </w:pPr>
      <w:rPr>
        <w:rFonts w:hint="default"/>
        <w:color w:val="4A4D56" w:themeColor="text1"/>
      </w:rPr>
    </w:lvl>
    <w:lvl w:ilvl="3">
      <w:start w:val="1"/>
      <w:numFmt w:val="decimal"/>
      <w:lvlText w:val="%4."/>
      <w:lvlJc w:val="left"/>
      <w:pPr>
        <w:ind w:left="1440" w:hanging="360"/>
      </w:pPr>
      <w:rPr>
        <w:rFonts w:hint="default"/>
        <w:color w:val="auto"/>
      </w:rPr>
    </w:lvl>
    <w:lvl w:ilvl="4">
      <w:start w:val="1"/>
      <w:numFmt w:val="lowerLetter"/>
      <w:lvlText w:val="%5."/>
      <w:lvlJc w:val="left"/>
      <w:pPr>
        <w:ind w:left="1800" w:hanging="360"/>
      </w:pPr>
      <w:rPr>
        <w:rFonts w:hint="default"/>
        <w:color w:val="auto"/>
      </w:rPr>
    </w:lvl>
    <w:lvl w:ilvl="5">
      <w:start w:val="1"/>
      <w:numFmt w:val="lowerRoman"/>
      <w:lvlText w:val="%6."/>
      <w:lvlJc w:val="left"/>
      <w:pPr>
        <w:ind w:left="2160" w:hanging="360"/>
      </w:pPr>
      <w:rPr>
        <w:rFonts w:hint="default"/>
        <w:color w:val="auto"/>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00000012"/>
    <w:multiLevelType w:val="multilevel"/>
    <w:tmpl w:val="62AA902E"/>
    <w:lvl w:ilvl="0">
      <w:start w:val="1"/>
      <w:numFmt w:val="bullet"/>
      <w:pStyle w:val="TableBullet"/>
      <w:lvlText w:val=""/>
      <w:lvlJc w:val="left"/>
      <w:pPr>
        <w:ind w:left="720" w:hanging="360"/>
      </w:pPr>
      <w:rPr>
        <w:rFonts w:ascii="Wingdings" w:hAnsi="Wingdings" w:hint="default"/>
        <w:color w:val="053572" w:themeColor="text2"/>
        <w:sz w:val="20"/>
      </w:rPr>
    </w:lvl>
    <w:lvl w:ilvl="1">
      <w:start w:val="1"/>
      <w:numFmt w:val="bullet"/>
      <w:lvlText w:val=""/>
      <w:lvlJc w:val="left"/>
      <w:pPr>
        <w:ind w:left="1080" w:hanging="360"/>
      </w:pPr>
      <w:rPr>
        <w:rFonts w:ascii="Wingdings" w:hAnsi="Wingdings" w:hint="default"/>
        <w:color w:val="1295D8"/>
        <w:sz w:val="22"/>
      </w:rPr>
    </w:lvl>
    <w:lvl w:ilvl="2">
      <w:start w:val="1"/>
      <w:numFmt w:val="bullet"/>
      <w:lvlRestart w:val="0"/>
      <w:lvlText w:val=""/>
      <w:lvlJc w:val="left"/>
      <w:pPr>
        <w:tabs>
          <w:tab w:val="num" w:pos="1080"/>
        </w:tabs>
        <w:ind w:left="1440" w:hanging="360"/>
      </w:pPr>
      <w:rPr>
        <w:rFonts w:ascii="Wingdings" w:hAnsi="Wingdings" w:hint="default"/>
        <w:color w:val="4D4D4F"/>
        <w:sz w:val="22"/>
      </w:rPr>
    </w:lvl>
    <w:lvl w:ilvl="3">
      <w:start w:val="1"/>
      <w:numFmt w:val="bullet"/>
      <w:lvlText w:val=""/>
      <w:lvlJc w:val="left"/>
      <w:pPr>
        <w:ind w:left="2160" w:hanging="432"/>
      </w:pPr>
      <w:rPr>
        <w:rFonts w:ascii="Wingdings" w:hAnsi="Wingdings" w:cs="Times New Roman" w:hint="default"/>
        <w:b w:val="0"/>
        <w:bCs w:val="0"/>
        <w:i w:val="0"/>
        <w:iCs w:val="0"/>
        <w:caps w:val="0"/>
        <w:smallCaps w:val="0"/>
        <w:strike w:val="0"/>
        <w:dstrike w:val="0"/>
        <w:noProof w:val="0"/>
        <w:vanish w:val="0"/>
        <w:color w:val="0069B6"/>
        <w:spacing w:val="0"/>
        <w:kern w:val="0"/>
        <w:position w:val="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bullet"/>
      <w:lvlText w:val=""/>
      <w:lvlJc w:val="left"/>
      <w:pPr>
        <w:ind w:left="3600" w:hanging="360"/>
      </w:pPr>
      <w:rPr>
        <w:rFonts w:ascii="Wingdings" w:hAnsi="Wingdings" w:hint="default"/>
        <w:color w:val="64B3E8"/>
      </w:rPr>
    </w:lvl>
    <w:lvl w:ilvl="5">
      <w:start w:val="1"/>
      <w:numFmt w:val="bullet"/>
      <w:lvlText w:val=""/>
      <w:lvlJc w:val="left"/>
      <w:pPr>
        <w:ind w:left="4320" w:hanging="360"/>
      </w:pPr>
      <w:rPr>
        <w:rFonts w:ascii="Wingdings" w:hAnsi="Wingdings" w:hint="default"/>
        <w:color w:val="696969"/>
      </w:rPr>
    </w:lvl>
    <w:lvl w:ilvl="6">
      <w:start w:val="1"/>
      <w:numFmt w:val="bullet"/>
      <w:lvlText w:val=""/>
      <w:lvlJc w:val="left"/>
      <w:pPr>
        <w:ind w:left="5040" w:hanging="360"/>
      </w:pPr>
      <w:rPr>
        <w:rFonts w:ascii="Wingdings" w:hAnsi="Wingdings" w:hint="default"/>
        <w:color w:val="172B54" w:themeColor="accent1"/>
      </w:rPr>
    </w:lvl>
    <w:lvl w:ilvl="7">
      <w:start w:val="1"/>
      <w:numFmt w:val="bullet"/>
      <w:lvlText w:val=""/>
      <w:lvlJc w:val="left"/>
      <w:pPr>
        <w:ind w:left="5760" w:hanging="360"/>
      </w:pPr>
      <w:rPr>
        <w:rFonts w:ascii="Wingdings" w:hAnsi="Wingdings" w:hint="default"/>
        <w:color w:val="265EAC" w:themeColor="accent2"/>
      </w:rPr>
    </w:lvl>
    <w:lvl w:ilvl="8">
      <w:start w:val="1"/>
      <w:numFmt w:val="bullet"/>
      <w:lvlText w:val=""/>
      <w:lvlJc w:val="left"/>
      <w:pPr>
        <w:ind w:left="6480" w:hanging="360"/>
      </w:pPr>
      <w:rPr>
        <w:rFonts w:ascii="Wingdings" w:hAnsi="Wingdings" w:hint="default"/>
        <w:color w:val="1FA9E1" w:themeColor="accent3"/>
      </w:rPr>
    </w:lvl>
  </w:abstractNum>
  <w:abstractNum w:abstractNumId="14" w15:restartNumberingAfterBreak="0">
    <w:nsid w:val="00987BA0"/>
    <w:multiLevelType w:val="hybridMultilevel"/>
    <w:tmpl w:val="D44A9B50"/>
    <w:lvl w:ilvl="0" w:tplc="F05A30A2">
      <w:start w:val="1"/>
      <w:numFmt w:val="decimal"/>
      <w:lvlText w:val="%1)"/>
      <w:lvlJc w:val="left"/>
      <w:pPr>
        <w:ind w:left="1020" w:hanging="360"/>
      </w:pPr>
    </w:lvl>
    <w:lvl w:ilvl="1" w:tplc="3D6CB1BE">
      <w:start w:val="1"/>
      <w:numFmt w:val="decimal"/>
      <w:lvlText w:val="%2)"/>
      <w:lvlJc w:val="left"/>
      <w:pPr>
        <w:ind w:left="1020" w:hanging="360"/>
      </w:pPr>
    </w:lvl>
    <w:lvl w:ilvl="2" w:tplc="60F88D90">
      <w:start w:val="1"/>
      <w:numFmt w:val="decimal"/>
      <w:lvlText w:val="%3)"/>
      <w:lvlJc w:val="left"/>
      <w:pPr>
        <w:ind w:left="1020" w:hanging="360"/>
      </w:pPr>
    </w:lvl>
    <w:lvl w:ilvl="3" w:tplc="3B06AE34">
      <w:start w:val="1"/>
      <w:numFmt w:val="decimal"/>
      <w:lvlText w:val="%4)"/>
      <w:lvlJc w:val="left"/>
      <w:pPr>
        <w:ind w:left="1020" w:hanging="360"/>
      </w:pPr>
    </w:lvl>
    <w:lvl w:ilvl="4" w:tplc="7F4C15DE">
      <w:start w:val="1"/>
      <w:numFmt w:val="decimal"/>
      <w:lvlText w:val="%5)"/>
      <w:lvlJc w:val="left"/>
      <w:pPr>
        <w:ind w:left="1020" w:hanging="360"/>
      </w:pPr>
    </w:lvl>
    <w:lvl w:ilvl="5" w:tplc="6A0A7E2A">
      <w:start w:val="1"/>
      <w:numFmt w:val="decimal"/>
      <w:lvlText w:val="%6)"/>
      <w:lvlJc w:val="left"/>
      <w:pPr>
        <w:ind w:left="1020" w:hanging="360"/>
      </w:pPr>
    </w:lvl>
    <w:lvl w:ilvl="6" w:tplc="9A2AAEFC">
      <w:start w:val="1"/>
      <w:numFmt w:val="decimal"/>
      <w:lvlText w:val="%7)"/>
      <w:lvlJc w:val="left"/>
      <w:pPr>
        <w:ind w:left="1020" w:hanging="360"/>
      </w:pPr>
    </w:lvl>
    <w:lvl w:ilvl="7" w:tplc="9EAA5E4A">
      <w:start w:val="1"/>
      <w:numFmt w:val="decimal"/>
      <w:lvlText w:val="%8)"/>
      <w:lvlJc w:val="left"/>
      <w:pPr>
        <w:ind w:left="1020" w:hanging="360"/>
      </w:pPr>
    </w:lvl>
    <w:lvl w:ilvl="8" w:tplc="D9C84E62">
      <w:start w:val="1"/>
      <w:numFmt w:val="decimal"/>
      <w:lvlText w:val="%9)"/>
      <w:lvlJc w:val="left"/>
      <w:pPr>
        <w:ind w:left="1020" w:hanging="360"/>
      </w:pPr>
    </w:lvl>
  </w:abstractNum>
  <w:abstractNum w:abstractNumId="15" w15:restartNumberingAfterBreak="0">
    <w:nsid w:val="0155429D"/>
    <w:multiLevelType w:val="hybridMultilevel"/>
    <w:tmpl w:val="68367ED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087A61FD"/>
    <w:multiLevelType w:val="multilevel"/>
    <w:tmpl w:val="C0CE1E54"/>
    <w:name w:val="Appendix Headings2"/>
    <w:numStyleLink w:val="Addendum"/>
  </w:abstractNum>
  <w:abstractNum w:abstractNumId="17" w15:restartNumberingAfterBreak="0">
    <w:nsid w:val="0B601198"/>
    <w:multiLevelType w:val="hybridMultilevel"/>
    <w:tmpl w:val="37CAC65E"/>
    <w:lvl w:ilvl="0" w:tplc="90741992">
      <w:start w:val="1"/>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8" w15:restartNumberingAfterBreak="0">
    <w:nsid w:val="117979CA"/>
    <w:multiLevelType w:val="hybridMultilevel"/>
    <w:tmpl w:val="1A4678D0"/>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9" w15:restartNumberingAfterBreak="0">
    <w:nsid w:val="14621D1C"/>
    <w:multiLevelType w:val="hybridMultilevel"/>
    <w:tmpl w:val="D4BE037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15:restartNumberingAfterBreak="0">
    <w:nsid w:val="22166E9B"/>
    <w:multiLevelType w:val="hybridMultilevel"/>
    <w:tmpl w:val="0D84EB4C"/>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1" w15:restartNumberingAfterBreak="0">
    <w:nsid w:val="25100017"/>
    <w:multiLevelType w:val="hybridMultilevel"/>
    <w:tmpl w:val="24B8EB8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15:restartNumberingAfterBreak="0">
    <w:nsid w:val="2A5F3142"/>
    <w:multiLevelType w:val="hybridMultilevel"/>
    <w:tmpl w:val="F24CF292"/>
    <w:lvl w:ilvl="0" w:tplc="75E8AA66">
      <w:start w:val="1"/>
      <w:numFmt w:val="decimal"/>
      <w:lvlText w:val="%1)"/>
      <w:lvlJc w:val="left"/>
      <w:pPr>
        <w:ind w:left="1020" w:hanging="360"/>
      </w:pPr>
    </w:lvl>
    <w:lvl w:ilvl="1" w:tplc="80CA2CB4">
      <w:start w:val="1"/>
      <w:numFmt w:val="decimal"/>
      <w:lvlText w:val="%2)"/>
      <w:lvlJc w:val="left"/>
      <w:pPr>
        <w:ind w:left="1020" w:hanging="360"/>
      </w:pPr>
    </w:lvl>
    <w:lvl w:ilvl="2" w:tplc="4A168318">
      <w:start w:val="1"/>
      <w:numFmt w:val="decimal"/>
      <w:lvlText w:val="%3)"/>
      <w:lvlJc w:val="left"/>
      <w:pPr>
        <w:ind w:left="1020" w:hanging="360"/>
      </w:pPr>
    </w:lvl>
    <w:lvl w:ilvl="3" w:tplc="A2A2C9AA">
      <w:start w:val="1"/>
      <w:numFmt w:val="decimal"/>
      <w:lvlText w:val="%4)"/>
      <w:lvlJc w:val="left"/>
      <w:pPr>
        <w:ind w:left="1020" w:hanging="360"/>
      </w:pPr>
    </w:lvl>
    <w:lvl w:ilvl="4" w:tplc="28AE1B96">
      <w:start w:val="1"/>
      <w:numFmt w:val="decimal"/>
      <w:lvlText w:val="%5)"/>
      <w:lvlJc w:val="left"/>
      <w:pPr>
        <w:ind w:left="1020" w:hanging="360"/>
      </w:pPr>
    </w:lvl>
    <w:lvl w:ilvl="5" w:tplc="A112CB12">
      <w:start w:val="1"/>
      <w:numFmt w:val="decimal"/>
      <w:lvlText w:val="%6)"/>
      <w:lvlJc w:val="left"/>
      <w:pPr>
        <w:ind w:left="1020" w:hanging="360"/>
      </w:pPr>
    </w:lvl>
    <w:lvl w:ilvl="6" w:tplc="1FCAE9A8">
      <w:start w:val="1"/>
      <w:numFmt w:val="decimal"/>
      <w:lvlText w:val="%7)"/>
      <w:lvlJc w:val="left"/>
      <w:pPr>
        <w:ind w:left="1020" w:hanging="360"/>
      </w:pPr>
    </w:lvl>
    <w:lvl w:ilvl="7" w:tplc="7630A844">
      <w:start w:val="1"/>
      <w:numFmt w:val="decimal"/>
      <w:lvlText w:val="%8)"/>
      <w:lvlJc w:val="left"/>
      <w:pPr>
        <w:ind w:left="1020" w:hanging="360"/>
      </w:pPr>
    </w:lvl>
    <w:lvl w:ilvl="8" w:tplc="B57E2EC8">
      <w:start w:val="1"/>
      <w:numFmt w:val="decimal"/>
      <w:lvlText w:val="%9)"/>
      <w:lvlJc w:val="left"/>
      <w:pPr>
        <w:ind w:left="1020" w:hanging="360"/>
      </w:pPr>
    </w:lvl>
  </w:abstractNum>
  <w:abstractNum w:abstractNumId="23" w15:restartNumberingAfterBreak="0">
    <w:nsid w:val="2AB52461"/>
    <w:multiLevelType w:val="hybridMultilevel"/>
    <w:tmpl w:val="BBFE8A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35583A95"/>
    <w:multiLevelType w:val="hybridMultilevel"/>
    <w:tmpl w:val="6C927690"/>
    <w:lvl w:ilvl="0" w:tplc="CEBCC1E2">
      <w:numFmt w:val="bullet"/>
      <w:lvlText w:val=""/>
      <w:lvlJc w:val="left"/>
      <w:pPr>
        <w:ind w:left="720" w:hanging="360"/>
      </w:pPr>
      <w:rPr>
        <w:rFonts w:ascii="Symbol" w:eastAsia="Times New Roman" w:hAnsi="Symbol" w:cs="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5" w15:restartNumberingAfterBreak="0">
    <w:nsid w:val="3E1A206B"/>
    <w:multiLevelType w:val="hybridMultilevel"/>
    <w:tmpl w:val="A072AA5E"/>
    <w:lvl w:ilvl="0" w:tplc="6798C5F6">
      <w:start w:val="1"/>
      <w:numFmt w:val="decimal"/>
      <w:lvlText w:val="%1)"/>
      <w:lvlJc w:val="left"/>
      <w:pPr>
        <w:ind w:left="1020" w:hanging="360"/>
      </w:pPr>
    </w:lvl>
    <w:lvl w:ilvl="1" w:tplc="E96C6CAA">
      <w:start w:val="1"/>
      <w:numFmt w:val="decimal"/>
      <w:lvlText w:val="%2)"/>
      <w:lvlJc w:val="left"/>
      <w:pPr>
        <w:ind w:left="1020" w:hanging="360"/>
      </w:pPr>
    </w:lvl>
    <w:lvl w:ilvl="2" w:tplc="56961B7C">
      <w:start w:val="1"/>
      <w:numFmt w:val="decimal"/>
      <w:lvlText w:val="%3)"/>
      <w:lvlJc w:val="left"/>
      <w:pPr>
        <w:ind w:left="1020" w:hanging="360"/>
      </w:pPr>
    </w:lvl>
    <w:lvl w:ilvl="3" w:tplc="E93C3054">
      <w:start w:val="1"/>
      <w:numFmt w:val="decimal"/>
      <w:lvlText w:val="%4)"/>
      <w:lvlJc w:val="left"/>
      <w:pPr>
        <w:ind w:left="1020" w:hanging="360"/>
      </w:pPr>
    </w:lvl>
    <w:lvl w:ilvl="4" w:tplc="5AF4C108">
      <w:start w:val="1"/>
      <w:numFmt w:val="decimal"/>
      <w:lvlText w:val="%5)"/>
      <w:lvlJc w:val="left"/>
      <w:pPr>
        <w:ind w:left="1020" w:hanging="360"/>
      </w:pPr>
    </w:lvl>
    <w:lvl w:ilvl="5" w:tplc="F4FE659E">
      <w:start w:val="1"/>
      <w:numFmt w:val="decimal"/>
      <w:lvlText w:val="%6)"/>
      <w:lvlJc w:val="left"/>
      <w:pPr>
        <w:ind w:left="1020" w:hanging="360"/>
      </w:pPr>
    </w:lvl>
    <w:lvl w:ilvl="6" w:tplc="C29A0724">
      <w:start w:val="1"/>
      <w:numFmt w:val="decimal"/>
      <w:lvlText w:val="%7)"/>
      <w:lvlJc w:val="left"/>
      <w:pPr>
        <w:ind w:left="1020" w:hanging="360"/>
      </w:pPr>
    </w:lvl>
    <w:lvl w:ilvl="7" w:tplc="734A4644">
      <w:start w:val="1"/>
      <w:numFmt w:val="decimal"/>
      <w:lvlText w:val="%8)"/>
      <w:lvlJc w:val="left"/>
      <w:pPr>
        <w:ind w:left="1020" w:hanging="360"/>
      </w:pPr>
    </w:lvl>
    <w:lvl w:ilvl="8" w:tplc="0748A5D6">
      <w:start w:val="1"/>
      <w:numFmt w:val="decimal"/>
      <w:lvlText w:val="%9)"/>
      <w:lvlJc w:val="left"/>
      <w:pPr>
        <w:ind w:left="1020" w:hanging="360"/>
      </w:pPr>
    </w:lvl>
  </w:abstractNum>
  <w:abstractNum w:abstractNumId="26" w15:restartNumberingAfterBreak="0">
    <w:nsid w:val="3EF04AE6"/>
    <w:multiLevelType w:val="hybridMultilevel"/>
    <w:tmpl w:val="293AF1B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15:restartNumberingAfterBreak="0">
    <w:nsid w:val="3FAE3977"/>
    <w:multiLevelType w:val="hybridMultilevel"/>
    <w:tmpl w:val="7704643C"/>
    <w:lvl w:ilvl="0" w:tplc="C5CE2DB8">
      <w:start w:val="1"/>
      <w:numFmt w:val="bullet"/>
      <w:lvlText w:val=""/>
      <w:lvlJc w:val="left"/>
      <w:pPr>
        <w:ind w:left="1020" w:hanging="360"/>
      </w:pPr>
      <w:rPr>
        <w:rFonts w:ascii="Symbol" w:hAnsi="Symbol"/>
      </w:rPr>
    </w:lvl>
    <w:lvl w:ilvl="1" w:tplc="538A40D4">
      <w:start w:val="1"/>
      <w:numFmt w:val="bullet"/>
      <w:lvlText w:val=""/>
      <w:lvlJc w:val="left"/>
      <w:pPr>
        <w:ind w:left="1020" w:hanging="360"/>
      </w:pPr>
      <w:rPr>
        <w:rFonts w:ascii="Symbol" w:hAnsi="Symbol"/>
      </w:rPr>
    </w:lvl>
    <w:lvl w:ilvl="2" w:tplc="5ADE9210">
      <w:start w:val="1"/>
      <w:numFmt w:val="bullet"/>
      <w:lvlText w:val=""/>
      <w:lvlJc w:val="left"/>
      <w:pPr>
        <w:ind w:left="1020" w:hanging="360"/>
      </w:pPr>
      <w:rPr>
        <w:rFonts w:ascii="Symbol" w:hAnsi="Symbol"/>
      </w:rPr>
    </w:lvl>
    <w:lvl w:ilvl="3" w:tplc="06DEB9FA">
      <w:start w:val="1"/>
      <w:numFmt w:val="bullet"/>
      <w:lvlText w:val=""/>
      <w:lvlJc w:val="left"/>
      <w:pPr>
        <w:ind w:left="1020" w:hanging="360"/>
      </w:pPr>
      <w:rPr>
        <w:rFonts w:ascii="Symbol" w:hAnsi="Symbol"/>
      </w:rPr>
    </w:lvl>
    <w:lvl w:ilvl="4" w:tplc="1B562200">
      <w:start w:val="1"/>
      <w:numFmt w:val="bullet"/>
      <w:lvlText w:val=""/>
      <w:lvlJc w:val="left"/>
      <w:pPr>
        <w:ind w:left="1020" w:hanging="360"/>
      </w:pPr>
      <w:rPr>
        <w:rFonts w:ascii="Symbol" w:hAnsi="Symbol"/>
      </w:rPr>
    </w:lvl>
    <w:lvl w:ilvl="5" w:tplc="D166CFC4">
      <w:start w:val="1"/>
      <w:numFmt w:val="bullet"/>
      <w:lvlText w:val=""/>
      <w:lvlJc w:val="left"/>
      <w:pPr>
        <w:ind w:left="1020" w:hanging="360"/>
      </w:pPr>
      <w:rPr>
        <w:rFonts w:ascii="Symbol" w:hAnsi="Symbol"/>
      </w:rPr>
    </w:lvl>
    <w:lvl w:ilvl="6" w:tplc="1EDA1224">
      <w:start w:val="1"/>
      <w:numFmt w:val="bullet"/>
      <w:lvlText w:val=""/>
      <w:lvlJc w:val="left"/>
      <w:pPr>
        <w:ind w:left="1020" w:hanging="360"/>
      </w:pPr>
      <w:rPr>
        <w:rFonts w:ascii="Symbol" w:hAnsi="Symbol"/>
      </w:rPr>
    </w:lvl>
    <w:lvl w:ilvl="7" w:tplc="5D087102">
      <w:start w:val="1"/>
      <w:numFmt w:val="bullet"/>
      <w:lvlText w:val=""/>
      <w:lvlJc w:val="left"/>
      <w:pPr>
        <w:ind w:left="1020" w:hanging="360"/>
      </w:pPr>
      <w:rPr>
        <w:rFonts w:ascii="Symbol" w:hAnsi="Symbol"/>
      </w:rPr>
    </w:lvl>
    <w:lvl w:ilvl="8" w:tplc="EA5A2036">
      <w:start w:val="1"/>
      <w:numFmt w:val="bullet"/>
      <w:lvlText w:val=""/>
      <w:lvlJc w:val="left"/>
      <w:pPr>
        <w:ind w:left="1020" w:hanging="360"/>
      </w:pPr>
      <w:rPr>
        <w:rFonts w:ascii="Symbol" w:hAnsi="Symbol"/>
      </w:rPr>
    </w:lvl>
  </w:abstractNum>
  <w:abstractNum w:abstractNumId="28" w15:restartNumberingAfterBreak="0">
    <w:nsid w:val="42A8607B"/>
    <w:multiLevelType w:val="hybridMultilevel"/>
    <w:tmpl w:val="178CCD38"/>
    <w:lvl w:ilvl="0" w:tplc="5C1053E4">
      <w:start w:val="1"/>
      <w:numFmt w:val="decimal"/>
      <w:lvlText w:val="%1."/>
      <w:lvlJc w:val="left"/>
      <w:pPr>
        <w:ind w:left="1020" w:hanging="360"/>
      </w:pPr>
    </w:lvl>
    <w:lvl w:ilvl="1" w:tplc="B9F6A336">
      <w:start w:val="1"/>
      <w:numFmt w:val="decimal"/>
      <w:lvlText w:val="%2."/>
      <w:lvlJc w:val="left"/>
      <w:pPr>
        <w:ind w:left="1020" w:hanging="360"/>
      </w:pPr>
    </w:lvl>
    <w:lvl w:ilvl="2" w:tplc="CB7CF094">
      <w:start w:val="1"/>
      <w:numFmt w:val="decimal"/>
      <w:lvlText w:val="%3."/>
      <w:lvlJc w:val="left"/>
      <w:pPr>
        <w:ind w:left="1020" w:hanging="360"/>
      </w:pPr>
    </w:lvl>
    <w:lvl w:ilvl="3" w:tplc="0FFEF66E">
      <w:start w:val="1"/>
      <w:numFmt w:val="decimal"/>
      <w:lvlText w:val="%4."/>
      <w:lvlJc w:val="left"/>
      <w:pPr>
        <w:ind w:left="1020" w:hanging="360"/>
      </w:pPr>
    </w:lvl>
    <w:lvl w:ilvl="4" w:tplc="966ADE7E">
      <w:start w:val="1"/>
      <w:numFmt w:val="decimal"/>
      <w:lvlText w:val="%5."/>
      <w:lvlJc w:val="left"/>
      <w:pPr>
        <w:ind w:left="1020" w:hanging="360"/>
      </w:pPr>
    </w:lvl>
    <w:lvl w:ilvl="5" w:tplc="3EC09B3A">
      <w:start w:val="1"/>
      <w:numFmt w:val="decimal"/>
      <w:lvlText w:val="%6."/>
      <w:lvlJc w:val="left"/>
      <w:pPr>
        <w:ind w:left="1020" w:hanging="360"/>
      </w:pPr>
    </w:lvl>
    <w:lvl w:ilvl="6" w:tplc="8E4EAA44">
      <w:start w:val="1"/>
      <w:numFmt w:val="decimal"/>
      <w:lvlText w:val="%7."/>
      <w:lvlJc w:val="left"/>
      <w:pPr>
        <w:ind w:left="1020" w:hanging="360"/>
      </w:pPr>
    </w:lvl>
    <w:lvl w:ilvl="7" w:tplc="88FA88D2">
      <w:start w:val="1"/>
      <w:numFmt w:val="decimal"/>
      <w:lvlText w:val="%8."/>
      <w:lvlJc w:val="left"/>
      <w:pPr>
        <w:ind w:left="1020" w:hanging="360"/>
      </w:pPr>
    </w:lvl>
    <w:lvl w:ilvl="8" w:tplc="8020AF46">
      <w:start w:val="1"/>
      <w:numFmt w:val="decimal"/>
      <w:lvlText w:val="%9."/>
      <w:lvlJc w:val="left"/>
      <w:pPr>
        <w:ind w:left="1020" w:hanging="360"/>
      </w:pPr>
    </w:lvl>
  </w:abstractNum>
  <w:abstractNum w:abstractNumId="29" w15:restartNumberingAfterBreak="0">
    <w:nsid w:val="47597377"/>
    <w:multiLevelType w:val="hybridMultilevel"/>
    <w:tmpl w:val="D2663AD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0" w15:restartNumberingAfterBreak="0">
    <w:nsid w:val="47F83C43"/>
    <w:multiLevelType w:val="hybridMultilevel"/>
    <w:tmpl w:val="1004AF36"/>
    <w:lvl w:ilvl="0" w:tplc="4A06529E">
      <w:start w:val="1"/>
      <w:numFmt w:val="decimal"/>
      <w:lvlText w:val="%1)"/>
      <w:lvlJc w:val="left"/>
      <w:pPr>
        <w:ind w:left="1020" w:hanging="360"/>
      </w:pPr>
    </w:lvl>
    <w:lvl w:ilvl="1" w:tplc="CC2A015C">
      <w:start w:val="1"/>
      <w:numFmt w:val="decimal"/>
      <w:lvlText w:val="%2)"/>
      <w:lvlJc w:val="left"/>
      <w:pPr>
        <w:ind w:left="1020" w:hanging="360"/>
      </w:pPr>
    </w:lvl>
    <w:lvl w:ilvl="2" w:tplc="A5E85C4E">
      <w:start w:val="1"/>
      <w:numFmt w:val="decimal"/>
      <w:lvlText w:val="%3)"/>
      <w:lvlJc w:val="left"/>
      <w:pPr>
        <w:ind w:left="1020" w:hanging="360"/>
      </w:pPr>
    </w:lvl>
    <w:lvl w:ilvl="3" w:tplc="861C5FD6">
      <w:start w:val="1"/>
      <w:numFmt w:val="decimal"/>
      <w:lvlText w:val="%4)"/>
      <w:lvlJc w:val="left"/>
      <w:pPr>
        <w:ind w:left="1020" w:hanging="360"/>
      </w:pPr>
    </w:lvl>
    <w:lvl w:ilvl="4" w:tplc="0276C674">
      <w:start w:val="1"/>
      <w:numFmt w:val="decimal"/>
      <w:lvlText w:val="%5)"/>
      <w:lvlJc w:val="left"/>
      <w:pPr>
        <w:ind w:left="1020" w:hanging="360"/>
      </w:pPr>
    </w:lvl>
    <w:lvl w:ilvl="5" w:tplc="020E3140">
      <w:start w:val="1"/>
      <w:numFmt w:val="decimal"/>
      <w:lvlText w:val="%6)"/>
      <w:lvlJc w:val="left"/>
      <w:pPr>
        <w:ind w:left="1020" w:hanging="360"/>
      </w:pPr>
    </w:lvl>
    <w:lvl w:ilvl="6" w:tplc="F5124340">
      <w:start w:val="1"/>
      <w:numFmt w:val="decimal"/>
      <w:lvlText w:val="%7)"/>
      <w:lvlJc w:val="left"/>
      <w:pPr>
        <w:ind w:left="1020" w:hanging="360"/>
      </w:pPr>
    </w:lvl>
    <w:lvl w:ilvl="7" w:tplc="4B6CFB10">
      <w:start w:val="1"/>
      <w:numFmt w:val="decimal"/>
      <w:lvlText w:val="%8)"/>
      <w:lvlJc w:val="left"/>
      <w:pPr>
        <w:ind w:left="1020" w:hanging="360"/>
      </w:pPr>
    </w:lvl>
    <w:lvl w:ilvl="8" w:tplc="27AECAC4">
      <w:start w:val="1"/>
      <w:numFmt w:val="decimal"/>
      <w:lvlText w:val="%9)"/>
      <w:lvlJc w:val="left"/>
      <w:pPr>
        <w:ind w:left="1020" w:hanging="360"/>
      </w:pPr>
    </w:lvl>
  </w:abstractNum>
  <w:abstractNum w:abstractNumId="31" w15:restartNumberingAfterBreak="0">
    <w:nsid w:val="503D6C61"/>
    <w:multiLevelType w:val="hybridMultilevel"/>
    <w:tmpl w:val="57AA98B0"/>
    <w:lvl w:ilvl="0" w:tplc="FAFC4BC8">
      <w:start w:val="1"/>
      <w:numFmt w:val="bullet"/>
      <w:pStyle w:val="ListBullet"/>
      <w:lvlText w:val=""/>
      <w:lvlJc w:val="left"/>
      <w:pPr>
        <w:ind w:left="540" w:hanging="360"/>
      </w:pPr>
      <w:rPr>
        <w:rFonts w:ascii="Wingdings" w:hAnsi="Wingdings" w:hint="default"/>
        <w:color w:val="053572" w:themeColor="text2"/>
      </w:rPr>
    </w:lvl>
    <w:lvl w:ilvl="1" w:tplc="3CA2820E">
      <w:start w:val="1"/>
      <w:numFmt w:val="bullet"/>
      <w:pStyle w:val="ListBullet2"/>
      <w:lvlText w:val=""/>
      <w:lvlJc w:val="left"/>
      <w:pPr>
        <w:ind w:left="2670" w:hanging="360"/>
      </w:pPr>
      <w:rPr>
        <w:rFonts w:ascii="Wingdings" w:hAnsi="Wingdings" w:hint="default"/>
        <w:color w:val="1FA9E1" w:themeColor="accent3"/>
      </w:rPr>
    </w:lvl>
    <w:lvl w:ilvl="2" w:tplc="B24CA5AC">
      <w:start w:val="1"/>
      <w:numFmt w:val="bullet"/>
      <w:pStyle w:val="ListBullet3"/>
      <w:lvlText w:val=""/>
      <w:lvlJc w:val="left"/>
      <w:pPr>
        <w:ind w:left="3390" w:hanging="360"/>
      </w:pPr>
      <w:rPr>
        <w:rFonts w:ascii="Wingdings" w:hAnsi="Wingdings" w:hint="default"/>
        <w:color w:val="7E83C0" w:themeColor="accent4"/>
      </w:rPr>
    </w:lvl>
    <w:lvl w:ilvl="3" w:tplc="DA64E1E2" w:tentative="1">
      <w:start w:val="1"/>
      <w:numFmt w:val="bullet"/>
      <w:lvlText w:val=""/>
      <w:lvlJc w:val="left"/>
      <w:pPr>
        <w:ind w:left="4110" w:hanging="360"/>
      </w:pPr>
      <w:rPr>
        <w:rFonts w:ascii="Symbol" w:hAnsi="Symbol" w:hint="default"/>
      </w:rPr>
    </w:lvl>
    <w:lvl w:ilvl="4" w:tplc="1A5E05F0" w:tentative="1">
      <w:start w:val="1"/>
      <w:numFmt w:val="bullet"/>
      <w:lvlText w:val="o"/>
      <w:lvlJc w:val="left"/>
      <w:pPr>
        <w:ind w:left="4830" w:hanging="360"/>
      </w:pPr>
      <w:rPr>
        <w:rFonts w:ascii="Courier New" w:hAnsi="Courier New" w:cs="Courier New" w:hint="default"/>
      </w:rPr>
    </w:lvl>
    <w:lvl w:ilvl="5" w:tplc="28D0307C" w:tentative="1">
      <w:start w:val="1"/>
      <w:numFmt w:val="bullet"/>
      <w:lvlText w:val=""/>
      <w:lvlJc w:val="left"/>
      <w:pPr>
        <w:ind w:left="5550" w:hanging="360"/>
      </w:pPr>
      <w:rPr>
        <w:rFonts w:ascii="Wingdings" w:hAnsi="Wingdings" w:hint="default"/>
      </w:rPr>
    </w:lvl>
    <w:lvl w:ilvl="6" w:tplc="8BDC1F4A" w:tentative="1">
      <w:start w:val="1"/>
      <w:numFmt w:val="bullet"/>
      <w:lvlText w:val=""/>
      <w:lvlJc w:val="left"/>
      <w:pPr>
        <w:ind w:left="6270" w:hanging="360"/>
      </w:pPr>
      <w:rPr>
        <w:rFonts w:ascii="Symbol" w:hAnsi="Symbol" w:hint="default"/>
      </w:rPr>
    </w:lvl>
    <w:lvl w:ilvl="7" w:tplc="CC2EA80E" w:tentative="1">
      <w:start w:val="1"/>
      <w:numFmt w:val="bullet"/>
      <w:lvlText w:val="o"/>
      <w:lvlJc w:val="left"/>
      <w:pPr>
        <w:ind w:left="6990" w:hanging="360"/>
      </w:pPr>
      <w:rPr>
        <w:rFonts w:ascii="Courier New" w:hAnsi="Courier New" w:cs="Courier New" w:hint="default"/>
      </w:rPr>
    </w:lvl>
    <w:lvl w:ilvl="8" w:tplc="A58C68C4" w:tentative="1">
      <w:start w:val="1"/>
      <w:numFmt w:val="bullet"/>
      <w:lvlText w:val=""/>
      <w:lvlJc w:val="left"/>
      <w:pPr>
        <w:ind w:left="7710" w:hanging="360"/>
      </w:pPr>
      <w:rPr>
        <w:rFonts w:ascii="Wingdings" w:hAnsi="Wingdings" w:hint="default"/>
      </w:rPr>
    </w:lvl>
  </w:abstractNum>
  <w:abstractNum w:abstractNumId="32" w15:restartNumberingAfterBreak="0">
    <w:nsid w:val="520E2E78"/>
    <w:multiLevelType w:val="multilevel"/>
    <w:tmpl w:val="C0CE1E54"/>
    <w:styleLink w:val="Addendum"/>
    <w:lvl w:ilvl="0">
      <w:start w:val="1"/>
      <w:numFmt w:val="upperLetter"/>
      <w:lvlText w:val="Appendix %1. "/>
      <w:lvlJc w:val="left"/>
      <w:pPr>
        <w:ind w:left="2268" w:hanging="2268"/>
      </w:pPr>
      <w:rPr>
        <w:rFonts w:ascii="Rift Soft" w:hAnsi="Rift Soft"/>
        <w:color w:val="053572" w:themeColor="text2"/>
        <w:sz w:val="36"/>
      </w:rPr>
    </w:lvl>
    <w:lvl w:ilvl="1">
      <w:start w:val="1"/>
      <w:numFmt w:val="upperRoman"/>
      <w:lvlText w:val="Appendix %1-%2."/>
      <w:lvlJc w:val="left"/>
      <w:pPr>
        <w:ind w:left="2268" w:hanging="2268"/>
      </w:pPr>
      <w:rPr>
        <w:rFonts w:ascii="Rift Soft" w:hAnsi="Rift Soft" w:hint="default"/>
        <w:color w:val="1FA9E1" w:themeColor="accent3"/>
        <w:sz w:val="36"/>
      </w:rPr>
    </w:lvl>
    <w:lvl w:ilvl="2">
      <w:start w:val="1"/>
      <w:numFmt w:val="upperRoman"/>
      <w:lvlText w:val="Appendix %1-%2.%3."/>
      <w:lvlJc w:val="left"/>
      <w:pPr>
        <w:ind w:left="2268" w:hanging="2268"/>
      </w:pPr>
      <w:rPr>
        <w:rFonts w:ascii="Rift Soft" w:hAnsi="Rift Soft" w:hint="default"/>
        <w:color w:val="4A4D56" w:themeColor="text1"/>
        <w:sz w:val="32"/>
      </w:rPr>
    </w:lvl>
    <w:lvl w:ilvl="3">
      <w:start w:val="1"/>
      <w:numFmt w:val="decimal"/>
      <w:lvlText w:val="%4."/>
      <w:lvlJc w:val="left"/>
      <w:pPr>
        <w:ind w:left="2268" w:hanging="2268"/>
      </w:pPr>
      <w:rPr>
        <w:rFonts w:hint="default"/>
      </w:rPr>
    </w:lvl>
    <w:lvl w:ilvl="4">
      <w:start w:val="1"/>
      <w:numFmt w:val="lowerLetter"/>
      <w:lvlText w:val="%5."/>
      <w:lvlJc w:val="left"/>
      <w:pPr>
        <w:ind w:left="2268" w:hanging="2268"/>
      </w:pPr>
      <w:rPr>
        <w:rFonts w:hint="default"/>
      </w:rPr>
    </w:lvl>
    <w:lvl w:ilvl="5">
      <w:start w:val="1"/>
      <w:numFmt w:val="lowerRoman"/>
      <w:lvlText w:val="%6."/>
      <w:lvlJc w:val="right"/>
      <w:pPr>
        <w:ind w:left="2268" w:hanging="2268"/>
      </w:pPr>
      <w:rPr>
        <w:rFonts w:hint="default"/>
      </w:rPr>
    </w:lvl>
    <w:lvl w:ilvl="6">
      <w:start w:val="1"/>
      <w:numFmt w:val="decimal"/>
      <w:lvlText w:val="%7."/>
      <w:lvlJc w:val="left"/>
      <w:pPr>
        <w:ind w:left="2268" w:hanging="2268"/>
      </w:pPr>
      <w:rPr>
        <w:rFonts w:hint="default"/>
      </w:rPr>
    </w:lvl>
    <w:lvl w:ilvl="7">
      <w:start w:val="1"/>
      <w:numFmt w:val="lowerLetter"/>
      <w:lvlText w:val="%8."/>
      <w:lvlJc w:val="left"/>
      <w:pPr>
        <w:ind w:left="2268" w:hanging="2268"/>
      </w:pPr>
      <w:rPr>
        <w:rFonts w:hint="default"/>
      </w:rPr>
    </w:lvl>
    <w:lvl w:ilvl="8">
      <w:start w:val="1"/>
      <w:numFmt w:val="lowerRoman"/>
      <w:lvlText w:val="%9."/>
      <w:lvlJc w:val="right"/>
      <w:pPr>
        <w:ind w:left="2268" w:hanging="2268"/>
      </w:pPr>
      <w:rPr>
        <w:rFonts w:hint="default"/>
      </w:rPr>
    </w:lvl>
  </w:abstractNum>
  <w:abstractNum w:abstractNumId="33" w15:restartNumberingAfterBreak="0">
    <w:nsid w:val="575D65CB"/>
    <w:multiLevelType w:val="multilevel"/>
    <w:tmpl w:val="359AAF8C"/>
    <w:styleLink w:val="ODXAPPENDIX"/>
    <w:lvl w:ilvl="0">
      <w:start w:val="1"/>
      <w:numFmt w:val="upperLetter"/>
      <w:lvlText w:val="APPENDIX %1 "/>
      <w:lvlJc w:val="left"/>
      <w:pPr>
        <w:ind w:left="360" w:hanging="360"/>
      </w:pPr>
      <w:rPr>
        <w:rFonts w:ascii="Rift Soft" w:hAnsi="Rift Soft" w:hint="default"/>
        <w:color w:val="053572" w:themeColor="text2"/>
        <w:sz w:val="36"/>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4" w15:restartNumberingAfterBreak="0">
    <w:nsid w:val="59CC4284"/>
    <w:multiLevelType w:val="hybridMultilevel"/>
    <w:tmpl w:val="F976B326"/>
    <w:lvl w:ilvl="0" w:tplc="5DF84634">
      <w:start w:val="1"/>
      <w:numFmt w:val="decimal"/>
      <w:lvlText w:val="%1)"/>
      <w:lvlJc w:val="left"/>
      <w:pPr>
        <w:ind w:left="1020" w:hanging="360"/>
      </w:pPr>
    </w:lvl>
    <w:lvl w:ilvl="1" w:tplc="CBE0FBAC">
      <w:start w:val="1"/>
      <w:numFmt w:val="decimal"/>
      <w:lvlText w:val="%2)"/>
      <w:lvlJc w:val="left"/>
      <w:pPr>
        <w:ind w:left="1020" w:hanging="360"/>
      </w:pPr>
    </w:lvl>
    <w:lvl w:ilvl="2" w:tplc="948AF2BA">
      <w:start w:val="1"/>
      <w:numFmt w:val="decimal"/>
      <w:lvlText w:val="%3)"/>
      <w:lvlJc w:val="left"/>
      <w:pPr>
        <w:ind w:left="1020" w:hanging="360"/>
      </w:pPr>
    </w:lvl>
    <w:lvl w:ilvl="3" w:tplc="6C52F984">
      <w:start w:val="1"/>
      <w:numFmt w:val="decimal"/>
      <w:lvlText w:val="%4)"/>
      <w:lvlJc w:val="left"/>
      <w:pPr>
        <w:ind w:left="1020" w:hanging="360"/>
      </w:pPr>
    </w:lvl>
    <w:lvl w:ilvl="4" w:tplc="E1283D32">
      <w:start w:val="1"/>
      <w:numFmt w:val="decimal"/>
      <w:lvlText w:val="%5)"/>
      <w:lvlJc w:val="left"/>
      <w:pPr>
        <w:ind w:left="1020" w:hanging="360"/>
      </w:pPr>
    </w:lvl>
    <w:lvl w:ilvl="5" w:tplc="0A444430">
      <w:start w:val="1"/>
      <w:numFmt w:val="decimal"/>
      <w:lvlText w:val="%6)"/>
      <w:lvlJc w:val="left"/>
      <w:pPr>
        <w:ind w:left="1020" w:hanging="360"/>
      </w:pPr>
    </w:lvl>
    <w:lvl w:ilvl="6" w:tplc="6BA040C6">
      <w:start w:val="1"/>
      <w:numFmt w:val="decimal"/>
      <w:lvlText w:val="%7)"/>
      <w:lvlJc w:val="left"/>
      <w:pPr>
        <w:ind w:left="1020" w:hanging="360"/>
      </w:pPr>
    </w:lvl>
    <w:lvl w:ilvl="7" w:tplc="4DC63A46">
      <w:start w:val="1"/>
      <w:numFmt w:val="decimal"/>
      <w:lvlText w:val="%8)"/>
      <w:lvlJc w:val="left"/>
      <w:pPr>
        <w:ind w:left="1020" w:hanging="360"/>
      </w:pPr>
    </w:lvl>
    <w:lvl w:ilvl="8" w:tplc="F5487886">
      <w:start w:val="1"/>
      <w:numFmt w:val="decimal"/>
      <w:lvlText w:val="%9)"/>
      <w:lvlJc w:val="left"/>
      <w:pPr>
        <w:ind w:left="1020" w:hanging="360"/>
      </w:pPr>
    </w:lvl>
  </w:abstractNum>
  <w:abstractNum w:abstractNumId="35" w15:restartNumberingAfterBreak="0">
    <w:nsid w:val="5BAA4A6B"/>
    <w:multiLevelType w:val="hybridMultilevel"/>
    <w:tmpl w:val="403495D4"/>
    <w:lvl w:ilvl="0" w:tplc="04090001">
      <w:start w:val="2"/>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CBD0409"/>
    <w:multiLevelType w:val="hybridMultilevel"/>
    <w:tmpl w:val="16B4374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04161D6"/>
    <w:multiLevelType w:val="hybridMultilevel"/>
    <w:tmpl w:val="2FA66734"/>
    <w:lvl w:ilvl="0" w:tplc="04090001">
      <w:start w:val="2"/>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33B1067"/>
    <w:multiLevelType w:val="hybridMultilevel"/>
    <w:tmpl w:val="E1F64434"/>
    <w:lvl w:ilvl="0" w:tplc="B712B298">
      <w:start w:val="1"/>
      <w:numFmt w:val="decimal"/>
      <w:lvlText w:val="%1."/>
      <w:lvlJc w:val="left"/>
      <w:pPr>
        <w:ind w:left="720" w:hanging="360"/>
      </w:pPr>
      <w:rPr>
        <w:rFonts w:ascii="Franklin Gothic Medium" w:hAnsi="Franklin Gothic Medium" w:hint="default"/>
        <w:b w:val="0"/>
        <w:i w:val="0"/>
        <w:color w:val="4A4D56" w:themeColor="text1"/>
        <w:sz w:val="20"/>
        <w:u w:val="none" w:color="4A4D56"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65203ED7"/>
    <w:multiLevelType w:val="multilevel"/>
    <w:tmpl w:val="0256F8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66AC2343"/>
    <w:multiLevelType w:val="hybridMultilevel"/>
    <w:tmpl w:val="DD8E15C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1" w15:restartNumberingAfterBreak="0">
    <w:nsid w:val="724E5C8B"/>
    <w:multiLevelType w:val="multilevel"/>
    <w:tmpl w:val="6A22351C"/>
    <w:name w:val="Appendix Headings"/>
    <w:lvl w:ilvl="0">
      <w:start w:val="1"/>
      <w:numFmt w:val="upperLetter"/>
      <w:lvlText w:val="Appendix %1."/>
      <w:lvlJc w:val="left"/>
      <w:pPr>
        <w:ind w:left="360" w:hanging="360"/>
      </w:pPr>
      <w:rPr>
        <w:rFonts w:ascii="Rift Soft Medium" w:hAnsi="Rift Soft Medium" w:hint="default"/>
        <w:color w:val="053572" w:themeColor="text2"/>
        <w:sz w:val="44"/>
        <w:u w:color="FFFFFF" w:themeColor="background1"/>
      </w:rPr>
    </w:lvl>
    <w:lvl w:ilvl="1">
      <w:start w:val="1"/>
      <w:numFmt w:val="upperRoman"/>
      <w:lvlText w:val="Appendix %1-%2."/>
      <w:lvlJc w:val="left"/>
      <w:pPr>
        <w:ind w:left="2268" w:hanging="2268"/>
      </w:pPr>
    </w:lvl>
    <w:lvl w:ilvl="2">
      <w:start w:val="1"/>
      <w:numFmt w:val="upperRoman"/>
      <w:lvlText w:val="Appendix %1-%2.%3."/>
      <w:lvlJc w:val="left"/>
      <w:pPr>
        <w:ind w:left="2268" w:hanging="2268"/>
      </w:pPr>
    </w:lvl>
    <w:lvl w:ilvl="3">
      <w:start w:val="1"/>
      <w:numFmt w:val="decimal"/>
      <w:lvlText w:val="%4."/>
      <w:lvlJc w:val="left"/>
      <w:pPr>
        <w:ind w:left="2268" w:hanging="2268"/>
      </w:pPr>
      <w:rPr>
        <w:rFonts w:hint="default"/>
      </w:rPr>
    </w:lvl>
    <w:lvl w:ilvl="4">
      <w:start w:val="1"/>
      <w:numFmt w:val="lowerLetter"/>
      <w:lvlText w:val="%5."/>
      <w:lvlJc w:val="left"/>
      <w:pPr>
        <w:ind w:left="2268" w:hanging="2268"/>
      </w:pPr>
      <w:rPr>
        <w:rFonts w:hint="default"/>
      </w:rPr>
    </w:lvl>
    <w:lvl w:ilvl="5">
      <w:start w:val="1"/>
      <w:numFmt w:val="lowerRoman"/>
      <w:lvlText w:val="%6."/>
      <w:lvlJc w:val="right"/>
      <w:pPr>
        <w:ind w:left="2268" w:hanging="2268"/>
      </w:pPr>
      <w:rPr>
        <w:rFonts w:hint="default"/>
      </w:rPr>
    </w:lvl>
    <w:lvl w:ilvl="6">
      <w:start w:val="1"/>
      <w:numFmt w:val="decimal"/>
      <w:lvlText w:val="%7."/>
      <w:lvlJc w:val="left"/>
      <w:pPr>
        <w:ind w:left="2268" w:hanging="2268"/>
      </w:pPr>
      <w:rPr>
        <w:rFonts w:hint="default"/>
      </w:rPr>
    </w:lvl>
    <w:lvl w:ilvl="7">
      <w:start w:val="1"/>
      <w:numFmt w:val="lowerLetter"/>
      <w:lvlText w:val="%8."/>
      <w:lvlJc w:val="left"/>
      <w:pPr>
        <w:ind w:left="2268" w:hanging="2268"/>
      </w:pPr>
      <w:rPr>
        <w:rFonts w:hint="default"/>
      </w:rPr>
    </w:lvl>
    <w:lvl w:ilvl="8">
      <w:start w:val="1"/>
      <w:numFmt w:val="lowerRoman"/>
      <w:lvlText w:val="%9."/>
      <w:lvlJc w:val="right"/>
      <w:pPr>
        <w:ind w:left="2268" w:hanging="2268"/>
      </w:pPr>
      <w:rPr>
        <w:rFonts w:hint="default"/>
      </w:rPr>
    </w:lvl>
  </w:abstractNum>
  <w:abstractNum w:abstractNumId="42" w15:restartNumberingAfterBreak="0">
    <w:nsid w:val="779C6EF2"/>
    <w:multiLevelType w:val="hybridMultilevel"/>
    <w:tmpl w:val="C5A497C4"/>
    <w:lvl w:ilvl="0" w:tplc="E6A26C46">
      <w:start w:val="1"/>
      <w:numFmt w:val="upperLetter"/>
      <w:pStyle w:val="Alpha"/>
      <w:lvlText w:val="Appendix %1."/>
      <w:lvlJc w:val="left"/>
      <w:pPr>
        <w:ind w:left="360" w:hanging="360"/>
      </w:pPr>
      <w:rPr>
        <w:rFonts w:ascii="Rift Soft Medium" w:hAnsi="Rift Soft Medium" w:hint="default"/>
        <w:color w:val="053572" w:themeColor="text2"/>
        <w:sz w:val="44"/>
        <w:u w:color="FFFFFF" w:themeColor="background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361206283">
    <w:abstractNumId w:val="1"/>
  </w:num>
  <w:num w:numId="2" w16cid:durableId="545600677">
    <w:abstractNumId w:val="2"/>
  </w:num>
  <w:num w:numId="3" w16cid:durableId="1299147011">
    <w:abstractNumId w:val="3"/>
  </w:num>
  <w:num w:numId="4" w16cid:durableId="1501771948">
    <w:abstractNumId w:val="4"/>
  </w:num>
  <w:num w:numId="5" w16cid:durableId="556820789">
    <w:abstractNumId w:val="5"/>
  </w:num>
  <w:num w:numId="6" w16cid:durableId="2095126736">
    <w:abstractNumId w:val="6"/>
  </w:num>
  <w:num w:numId="7" w16cid:durableId="1435440616">
    <w:abstractNumId w:val="7"/>
  </w:num>
  <w:num w:numId="8" w16cid:durableId="1899240670">
    <w:abstractNumId w:val="8"/>
  </w:num>
  <w:num w:numId="9" w16cid:durableId="1607806446">
    <w:abstractNumId w:val="9"/>
  </w:num>
  <w:num w:numId="10" w16cid:durableId="614562843">
    <w:abstractNumId w:val="10"/>
  </w:num>
  <w:num w:numId="11" w16cid:durableId="1790003988">
    <w:abstractNumId w:val="11"/>
  </w:num>
  <w:num w:numId="12" w16cid:durableId="699361803">
    <w:abstractNumId w:val="12"/>
  </w:num>
  <w:num w:numId="13" w16cid:durableId="1925264602">
    <w:abstractNumId w:val="13"/>
  </w:num>
  <w:num w:numId="14" w16cid:durableId="1804107596">
    <w:abstractNumId w:val="31"/>
  </w:num>
  <w:num w:numId="15" w16cid:durableId="1244608247">
    <w:abstractNumId w:val="33"/>
  </w:num>
  <w:num w:numId="16" w16cid:durableId="1371999592">
    <w:abstractNumId w:val="41"/>
  </w:num>
  <w:num w:numId="17" w16cid:durableId="1493108397">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557425416">
    <w:abstractNumId w:val="32"/>
  </w:num>
  <w:num w:numId="19" w16cid:durableId="677805838">
    <w:abstractNumId w:val="16"/>
  </w:num>
  <w:num w:numId="20" w16cid:durableId="808669919">
    <w:abstractNumId w:val="42"/>
  </w:num>
  <w:num w:numId="21" w16cid:durableId="2109305949">
    <w:abstractNumId w:val="38"/>
  </w:num>
  <w:num w:numId="22" w16cid:durableId="571283288">
    <w:abstractNumId w:val="26"/>
  </w:num>
  <w:num w:numId="23" w16cid:durableId="24983793">
    <w:abstractNumId w:val="21"/>
  </w:num>
  <w:num w:numId="24" w16cid:durableId="782261455">
    <w:abstractNumId w:val="29"/>
  </w:num>
  <w:num w:numId="25" w16cid:durableId="113716870">
    <w:abstractNumId w:val="19"/>
  </w:num>
  <w:num w:numId="26" w16cid:durableId="1113938109">
    <w:abstractNumId w:val="18"/>
  </w:num>
  <w:num w:numId="27" w16cid:durableId="559823355">
    <w:abstractNumId w:val="15"/>
  </w:num>
  <w:num w:numId="28" w16cid:durableId="679357555">
    <w:abstractNumId w:val="40"/>
  </w:num>
  <w:num w:numId="29" w16cid:durableId="1670712929">
    <w:abstractNumId w:val="17"/>
  </w:num>
  <w:num w:numId="30" w16cid:durableId="1007750398">
    <w:abstractNumId w:val="14"/>
  </w:num>
  <w:num w:numId="31" w16cid:durableId="1020424898">
    <w:abstractNumId w:val="24"/>
  </w:num>
  <w:num w:numId="32" w16cid:durableId="172384676">
    <w:abstractNumId w:val="0"/>
  </w:num>
  <w:num w:numId="33" w16cid:durableId="1250503167">
    <w:abstractNumId w:val="36"/>
  </w:num>
  <w:num w:numId="34" w16cid:durableId="540479249">
    <w:abstractNumId w:val="23"/>
  </w:num>
  <w:num w:numId="35" w16cid:durableId="844393156">
    <w:abstractNumId w:val="20"/>
  </w:num>
  <w:num w:numId="36" w16cid:durableId="466892872">
    <w:abstractNumId w:val="27"/>
  </w:num>
  <w:num w:numId="37" w16cid:durableId="1177888765">
    <w:abstractNumId w:val="39"/>
  </w:num>
  <w:num w:numId="38" w16cid:durableId="1794052267">
    <w:abstractNumId w:val="35"/>
  </w:num>
  <w:num w:numId="39" w16cid:durableId="590162476">
    <w:abstractNumId w:val="37"/>
  </w:num>
  <w:num w:numId="40" w16cid:durableId="1029725532">
    <w:abstractNumId w:val="25"/>
  </w:num>
  <w:num w:numId="41" w16cid:durableId="699210261">
    <w:abstractNumId w:val="30"/>
  </w:num>
  <w:num w:numId="42" w16cid:durableId="653603971">
    <w:abstractNumId w:val="34"/>
  </w:num>
  <w:num w:numId="43" w16cid:durableId="1294754478">
    <w:abstractNumId w:val="28"/>
  </w:num>
  <w:num w:numId="44" w16cid:durableId="414791216">
    <w:abstractNumId w:val="22"/>
  </w:num>
  <w:num w:numId="45" w16cid:durableId="1165828562">
    <w:abstractNumId w:val="31"/>
  </w:num>
  <w:num w:numId="46" w16cid:durableId="1605074421">
    <w:abstractNumId w:val="31"/>
  </w:num>
  <w:num w:numId="47" w16cid:durableId="1109277689">
    <w:abstractNumId w:val="6"/>
  </w:num>
  <w:numIdMacAtCleanup w:val="1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Zachary Ross">
    <w15:presenceInfo w15:providerId="AD" w15:userId="S::Zross@opiniondynamics.com::5bc26c3a-381a-4f08-b1c4-5d36dd6451eb"/>
  </w15:person>
  <w15:person w15:author="Kevin Ketchman">
    <w15:presenceInfo w15:providerId="None" w15:userId="Kevin Ketchma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stylePaneFormatFilter w:val="9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1"/>
  <w:stylePaneSortMethod w:val="0000"/>
  <w:defaultTabStop w:val="720"/>
  <w:characterSpacingControl w:val="doNotCompress"/>
  <w:hdrShapeDefaults>
    <o:shapedefaults v:ext="edit" spidmax="2050"/>
  </w:hdrShapeDefaults>
  <w:footnotePr>
    <w:numRestart w:val="eachSect"/>
    <w:footnote w:id="-1"/>
    <w:footnote w:id="0"/>
  </w:footnotePr>
  <w:endnotePr>
    <w:pos w:val="sectEnd"/>
    <w:numFmt w:val="decimal"/>
    <w:numRestart w:val="eachSect"/>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MTYyMTU3NDAxNzW1NDVX0lEKTi0uzszPAykwrwUAhoineCwAAAA="/>
  </w:docVars>
  <w:rsids>
    <w:rsidRoot w:val="004A582B"/>
    <w:rsid w:val="00002523"/>
    <w:rsid w:val="000027F0"/>
    <w:rsid w:val="0000529D"/>
    <w:rsid w:val="0000573F"/>
    <w:rsid w:val="00026697"/>
    <w:rsid w:val="000274B9"/>
    <w:rsid w:val="000317D8"/>
    <w:rsid w:val="000413E8"/>
    <w:rsid w:val="00041AA5"/>
    <w:rsid w:val="00043AA9"/>
    <w:rsid w:val="00046703"/>
    <w:rsid w:val="00050F40"/>
    <w:rsid w:val="00056CCF"/>
    <w:rsid w:val="0006058A"/>
    <w:rsid w:val="00080878"/>
    <w:rsid w:val="000A0C88"/>
    <w:rsid w:val="000A3374"/>
    <w:rsid w:val="000A3FCD"/>
    <w:rsid w:val="000C2EF9"/>
    <w:rsid w:val="000E0419"/>
    <w:rsid w:val="000E0ECE"/>
    <w:rsid w:val="000E361C"/>
    <w:rsid w:val="000E7628"/>
    <w:rsid w:val="000F2C3E"/>
    <w:rsid w:val="000F5311"/>
    <w:rsid w:val="00105940"/>
    <w:rsid w:val="00112C23"/>
    <w:rsid w:val="0013481F"/>
    <w:rsid w:val="00134ABC"/>
    <w:rsid w:val="0013593F"/>
    <w:rsid w:val="00136622"/>
    <w:rsid w:val="00143669"/>
    <w:rsid w:val="0014392F"/>
    <w:rsid w:val="00144B1E"/>
    <w:rsid w:val="00150B28"/>
    <w:rsid w:val="00153DBC"/>
    <w:rsid w:val="00155088"/>
    <w:rsid w:val="00155875"/>
    <w:rsid w:val="00156144"/>
    <w:rsid w:val="00157D54"/>
    <w:rsid w:val="0016138F"/>
    <w:rsid w:val="00165D28"/>
    <w:rsid w:val="00171C84"/>
    <w:rsid w:val="00171DB1"/>
    <w:rsid w:val="00172B87"/>
    <w:rsid w:val="001754EE"/>
    <w:rsid w:val="00177788"/>
    <w:rsid w:val="00181175"/>
    <w:rsid w:val="00191389"/>
    <w:rsid w:val="001914EE"/>
    <w:rsid w:val="00193142"/>
    <w:rsid w:val="00196D76"/>
    <w:rsid w:val="001B0413"/>
    <w:rsid w:val="001B2FF4"/>
    <w:rsid w:val="001C0C9D"/>
    <w:rsid w:val="001C32D6"/>
    <w:rsid w:val="001C4ACA"/>
    <w:rsid w:val="001C6DC3"/>
    <w:rsid w:val="001D5B3C"/>
    <w:rsid w:val="001E0E4B"/>
    <w:rsid w:val="001F0C67"/>
    <w:rsid w:val="001F1009"/>
    <w:rsid w:val="001F21E9"/>
    <w:rsid w:val="001F322C"/>
    <w:rsid w:val="001F4D82"/>
    <w:rsid w:val="002019F0"/>
    <w:rsid w:val="002051EB"/>
    <w:rsid w:val="002114D1"/>
    <w:rsid w:val="002139E5"/>
    <w:rsid w:val="0021540D"/>
    <w:rsid w:val="00217303"/>
    <w:rsid w:val="002203CC"/>
    <w:rsid w:val="002258A8"/>
    <w:rsid w:val="00241E2C"/>
    <w:rsid w:val="002578BD"/>
    <w:rsid w:val="00257E63"/>
    <w:rsid w:val="00267358"/>
    <w:rsid w:val="002711CA"/>
    <w:rsid w:val="00272A4F"/>
    <w:rsid w:val="002749C2"/>
    <w:rsid w:val="00294548"/>
    <w:rsid w:val="002A35C7"/>
    <w:rsid w:val="002A42BB"/>
    <w:rsid w:val="002A7C18"/>
    <w:rsid w:val="002B08F1"/>
    <w:rsid w:val="002B2C69"/>
    <w:rsid w:val="002B3CAA"/>
    <w:rsid w:val="002B512D"/>
    <w:rsid w:val="002B5D61"/>
    <w:rsid w:val="002C1FF1"/>
    <w:rsid w:val="002C2979"/>
    <w:rsid w:val="002C6378"/>
    <w:rsid w:val="002D0E1D"/>
    <w:rsid w:val="002D3FF2"/>
    <w:rsid w:val="002E20E6"/>
    <w:rsid w:val="002E2AB7"/>
    <w:rsid w:val="002E73B9"/>
    <w:rsid w:val="002E75D5"/>
    <w:rsid w:val="002E7D19"/>
    <w:rsid w:val="002F032E"/>
    <w:rsid w:val="003039BF"/>
    <w:rsid w:val="00307BDB"/>
    <w:rsid w:val="00315746"/>
    <w:rsid w:val="00316B19"/>
    <w:rsid w:val="003308B0"/>
    <w:rsid w:val="003309E0"/>
    <w:rsid w:val="003315C4"/>
    <w:rsid w:val="00331E8F"/>
    <w:rsid w:val="00335F52"/>
    <w:rsid w:val="00344C23"/>
    <w:rsid w:val="00344C36"/>
    <w:rsid w:val="003473C2"/>
    <w:rsid w:val="00351734"/>
    <w:rsid w:val="00363CB8"/>
    <w:rsid w:val="00364EE9"/>
    <w:rsid w:val="00375C66"/>
    <w:rsid w:val="00376D43"/>
    <w:rsid w:val="003A084A"/>
    <w:rsid w:val="003A08B8"/>
    <w:rsid w:val="003A3404"/>
    <w:rsid w:val="003A3E79"/>
    <w:rsid w:val="003A6058"/>
    <w:rsid w:val="003B3CE2"/>
    <w:rsid w:val="003B4E7E"/>
    <w:rsid w:val="003B615C"/>
    <w:rsid w:val="003C1394"/>
    <w:rsid w:val="003C4811"/>
    <w:rsid w:val="003D1C9A"/>
    <w:rsid w:val="003E288B"/>
    <w:rsid w:val="003E5581"/>
    <w:rsid w:val="003E599A"/>
    <w:rsid w:val="003F45B2"/>
    <w:rsid w:val="0040700C"/>
    <w:rsid w:val="0041296A"/>
    <w:rsid w:val="004169F3"/>
    <w:rsid w:val="00416C7A"/>
    <w:rsid w:val="00423A84"/>
    <w:rsid w:val="00427501"/>
    <w:rsid w:val="00431D61"/>
    <w:rsid w:val="00434F0D"/>
    <w:rsid w:val="0043589F"/>
    <w:rsid w:val="0044544A"/>
    <w:rsid w:val="00455E81"/>
    <w:rsid w:val="004573DA"/>
    <w:rsid w:val="00464243"/>
    <w:rsid w:val="0046689E"/>
    <w:rsid w:val="00473485"/>
    <w:rsid w:val="00480FC3"/>
    <w:rsid w:val="004828BA"/>
    <w:rsid w:val="00484152"/>
    <w:rsid w:val="0048781D"/>
    <w:rsid w:val="0049128A"/>
    <w:rsid w:val="004915EF"/>
    <w:rsid w:val="00494799"/>
    <w:rsid w:val="004A4F72"/>
    <w:rsid w:val="004A582B"/>
    <w:rsid w:val="004B04E5"/>
    <w:rsid w:val="004B7081"/>
    <w:rsid w:val="004C23B1"/>
    <w:rsid w:val="004C38FD"/>
    <w:rsid w:val="004D30D1"/>
    <w:rsid w:val="004D318B"/>
    <w:rsid w:val="004E232C"/>
    <w:rsid w:val="004F19F2"/>
    <w:rsid w:val="004F7FA8"/>
    <w:rsid w:val="00503497"/>
    <w:rsid w:val="00503B5A"/>
    <w:rsid w:val="0051347D"/>
    <w:rsid w:val="00513F8B"/>
    <w:rsid w:val="005210B0"/>
    <w:rsid w:val="00523F7D"/>
    <w:rsid w:val="00525B2C"/>
    <w:rsid w:val="00526CF2"/>
    <w:rsid w:val="005315C4"/>
    <w:rsid w:val="00531B1A"/>
    <w:rsid w:val="005350F7"/>
    <w:rsid w:val="00540D33"/>
    <w:rsid w:val="0054466C"/>
    <w:rsid w:val="00554CC9"/>
    <w:rsid w:val="00556B05"/>
    <w:rsid w:val="00556D7B"/>
    <w:rsid w:val="00562306"/>
    <w:rsid w:val="005643BD"/>
    <w:rsid w:val="005676FF"/>
    <w:rsid w:val="005709EF"/>
    <w:rsid w:val="00572CBA"/>
    <w:rsid w:val="005742EA"/>
    <w:rsid w:val="00576403"/>
    <w:rsid w:val="005776D9"/>
    <w:rsid w:val="005877F6"/>
    <w:rsid w:val="00587AAF"/>
    <w:rsid w:val="0059140A"/>
    <w:rsid w:val="005A28F5"/>
    <w:rsid w:val="005B7B2F"/>
    <w:rsid w:val="005C754B"/>
    <w:rsid w:val="005D4F93"/>
    <w:rsid w:val="005E423D"/>
    <w:rsid w:val="005E6C7C"/>
    <w:rsid w:val="005E76F9"/>
    <w:rsid w:val="005F206F"/>
    <w:rsid w:val="005F6832"/>
    <w:rsid w:val="005F7DB1"/>
    <w:rsid w:val="006069C4"/>
    <w:rsid w:val="00610E15"/>
    <w:rsid w:val="00612AFE"/>
    <w:rsid w:val="00614FF7"/>
    <w:rsid w:val="00623EEC"/>
    <w:rsid w:val="006306B7"/>
    <w:rsid w:val="00631819"/>
    <w:rsid w:val="0063566D"/>
    <w:rsid w:val="0063604E"/>
    <w:rsid w:val="00641AF9"/>
    <w:rsid w:val="00644CA8"/>
    <w:rsid w:val="00645611"/>
    <w:rsid w:val="00652535"/>
    <w:rsid w:val="00660CEF"/>
    <w:rsid w:val="0066129A"/>
    <w:rsid w:val="0067044D"/>
    <w:rsid w:val="0068154D"/>
    <w:rsid w:val="00681D36"/>
    <w:rsid w:val="00684AA9"/>
    <w:rsid w:val="00694371"/>
    <w:rsid w:val="006A2679"/>
    <w:rsid w:val="006A7E31"/>
    <w:rsid w:val="006B2076"/>
    <w:rsid w:val="006B2FA7"/>
    <w:rsid w:val="006B3567"/>
    <w:rsid w:val="006B6105"/>
    <w:rsid w:val="006B6FD1"/>
    <w:rsid w:val="006C0BA7"/>
    <w:rsid w:val="006D731A"/>
    <w:rsid w:val="006E68B0"/>
    <w:rsid w:val="006F3F46"/>
    <w:rsid w:val="00725A3A"/>
    <w:rsid w:val="0073481D"/>
    <w:rsid w:val="00746722"/>
    <w:rsid w:val="007535FC"/>
    <w:rsid w:val="00767E6C"/>
    <w:rsid w:val="00770BEC"/>
    <w:rsid w:val="00772144"/>
    <w:rsid w:val="00786A5A"/>
    <w:rsid w:val="007A33CA"/>
    <w:rsid w:val="007A66A2"/>
    <w:rsid w:val="007B6DF3"/>
    <w:rsid w:val="007C1EC0"/>
    <w:rsid w:val="007C2656"/>
    <w:rsid w:val="007C2B16"/>
    <w:rsid w:val="007C41F0"/>
    <w:rsid w:val="007C5AA1"/>
    <w:rsid w:val="007D7FF5"/>
    <w:rsid w:val="007E4CD6"/>
    <w:rsid w:val="007E54AE"/>
    <w:rsid w:val="007F77D6"/>
    <w:rsid w:val="00800B51"/>
    <w:rsid w:val="00800BCD"/>
    <w:rsid w:val="0080139E"/>
    <w:rsid w:val="0080549D"/>
    <w:rsid w:val="00806037"/>
    <w:rsid w:val="00813BC9"/>
    <w:rsid w:val="00815F70"/>
    <w:rsid w:val="00862AE1"/>
    <w:rsid w:val="00862AF0"/>
    <w:rsid w:val="00876F6F"/>
    <w:rsid w:val="00880BF7"/>
    <w:rsid w:val="00883750"/>
    <w:rsid w:val="00885135"/>
    <w:rsid w:val="008865A2"/>
    <w:rsid w:val="008A64AD"/>
    <w:rsid w:val="008A6575"/>
    <w:rsid w:val="008B0876"/>
    <w:rsid w:val="008B2F0D"/>
    <w:rsid w:val="008B776D"/>
    <w:rsid w:val="008D37DE"/>
    <w:rsid w:val="008D5EB5"/>
    <w:rsid w:val="008E12F6"/>
    <w:rsid w:val="008E3838"/>
    <w:rsid w:val="008F0909"/>
    <w:rsid w:val="008F724F"/>
    <w:rsid w:val="00904EE9"/>
    <w:rsid w:val="009105B7"/>
    <w:rsid w:val="009236A2"/>
    <w:rsid w:val="00923C41"/>
    <w:rsid w:val="00932092"/>
    <w:rsid w:val="00941CD9"/>
    <w:rsid w:val="00944151"/>
    <w:rsid w:val="00946702"/>
    <w:rsid w:val="00954350"/>
    <w:rsid w:val="00954C03"/>
    <w:rsid w:val="00957E45"/>
    <w:rsid w:val="00962988"/>
    <w:rsid w:val="009753EA"/>
    <w:rsid w:val="009803B5"/>
    <w:rsid w:val="00980F9B"/>
    <w:rsid w:val="0098260D"/>
    <w:rsid w:val="00985305"/>
    <w:rsid w:val="00985BB4"/>
    <w:rsid w:val="009933E0"/>
    <w:rsid w:val="00994030"/>
    <w:rsid w:val="009A1BBB"/>
    <w:rsid w:val="009A24AC"/>
    <w:rsid w:val="009A5250"/>
    <w:rsid w:val="009B4519"/>
    <w:rsid w:val="009C582F"/>
    <w:rsid w:val="009E5482"/>
    <w:rsid w:val="009E5DB3"/>
    <w:rsid w:val="009F4BC0"/>
    <w:rsid w:val="00A03CE3"/>
    <w:rsid w:val="00A1487D"/>
    <w:rsid w:val="00A14F20"/>
    <w:rsid w:val="00A15B19"/>
    <w:rsid w:val="00A16868"/>
    <w:rsid w:val="00A23C10"/>
    <w:rsid w:val="00A33424"/>
    <w:rsid w:val="00A367AF"/>
    <w:rsid w:val="00A406D2"/>
    <w:rsid w:val="00A4257C"/>
    <w:rsid w:val="00A434FB"/>
    <w:rsid w:val="00A46573"/>
    <w:rsid w:val="00A46D2C"/>
    <w:rsid w:val="00A53C8F"/>
    <w:rsid w:val="00A5545C"/>
    <w:rsid w:val="00A5705E"/>
    <w:rsid w:val="00A61FE6"/>
    <w:rsid w:val="00A62935"/>
    <w:rsid w:val="00A63589"/>
    <w:rsid w:val="00A7034E"/>
    <w:rsid w:val="00A738BC"/>
    <w:rsid w:val="00A80BAE"/>
    <w:rsid w:val="00A83BC4"/>
    <w:rsid w:val="00A85B8D"/>
    <w:rsid w:val="00A86DE3"/>
    <w:rsid w:val="00A95C32"/>
    <w:rsid w:val="00A96735"/>
    <w:rsid w:val="00AA0F6E"/>
    <w:rsid w:val="00AA5DA7"/>
    <w:rsid w:val="00AB5038"/>
    <w:rsid w:val="00AB6E58"/>
    <w:rsid w:val="00AB79BD"/>
    <w:rsid w:val="00AB7C6D"/>
    <w:rsid w:val="00AC29AB"/>
    <w:rsid w:val="00AE0A72"/>
    <w:rsid w:val="00AE120B"/>
    <w:rsid w:val="00AE2204"/>
    <w:rsid w:val="00AE6032"/>
    <w:rsid w:val="00AF718D"/>
    <w:rsid w:val="00AF7C95"/>
    <w:rsid w:val="00B010C4"/>
    <w:rsid w:val="00B02B47"/>
    <w:rsid w:val="00B1108D"/>
    <w:rsid w:val="00B41860"/>
    <w:rsid w:val="00B42FC3"/>
    <w:rsid w:val="00B45EFD"/>
    <w:rsid w:val="00B46767"/>
    <w:rsid w:val="00B51AF9"/>
    <w:rsid w:val="00B54BC4"/>
    <w:rsid w:val="00B54CD6"/>
    <w:rsid w:val="00B54E5A"/>
    <w:rsid w:val="00B571BA"/>
    <w:rsid w:val="00B62B1C"/>
    <w:rsid w:val="00B632F2"/>
    <w:rsid w:val="00B65B28"/>
    <w:rsid w:val="00B71E6A"/>
    <w:rsid w:val="00B774FB"/>
    <w:rsid w:val="00B803B6"/>
    <w:rsid w:val="00B85543"/>
    <w:rsid w:val="00B85AD9"/>
    <w:rsid w:val="00B87A6C"/>
    <w:rsid w:val="00B90C45"/>
    <w:rsid w:val="00BA2B73"/>
    <w:rsid w:val="00BA3F6A"/>
    <w:rsid w:val="00BA5418"/>
    <w:rsid w:val="00BA6418"/>
    <w:rsid w:val="00BC6E39"/>
    <w:rsid w:val="00BC7151"/>
    <w:rsid w:val="00BD573A"/>
    <w:rsid w:val="00BD7998"/>
    <w:rsid w:val="00BE0286"/>
    <w:rsid w:val="00BE0CCC"/>
    <w:rsid w:val="00BE5299"/>
    <w:rsid w:val="00BE641F"/>
    <w:rsid w:val="00BE7B5D"/>
    <w:rsid w:val="00BF4B9E"/>
    <w:rsid w:val="00C07C0D"/>
    <w:rsid w:val="00C2344D"/>
    <w:rsid w:val="00C2664B"/>
    <w:rsid w:val="00C2694D"/>
    <w:rsid w:val="00C425C2"/>
    <w:rsid w:val="00C44477"/>
    <w:rsid w:val="00C46EE4"/>
    <w:rsid w:val="00C47B0E"/>
    <w:rsid w:val="00C5313F"/>
    <w:rsid w:val="00C5373C"/>
    <w:rsid w:val="00C54B21"/>
    <w:rsid w:val="00C60549"/>
    <w:rsid w:val="00C6130E"/>
    <w:rsid w:val="00C6211D"/>
    <w:rsid w:val="00C62485"/>
    <w:rsid w:val="00C624DD"/>
    <w:rsid w:val="00C643C5"/>
    <w:rsid w:val="00C677C7"/>
    <w:rsid w:val="00C8284A"/>
    <w:rsid w:val="00C84A2D"/>
    <w:rsid w:val="00C851B4"/>
    <w:rsid w:val="00C90459"/>
    <w:rsid w:val="00CB54CF"/>
    <w:rsid w:val="00CB73B5"/>
    <w:rsid w:val="00CC265E"/>
    <w:rsid w:val="00CC39E0"/>
    <w:rsid w:val="00CC4847"/>
    <w:rsid w:val="00CD133C"/>
    <w:rsid w:val="00CD79DD"/>
    <w:rsid w:val="00CE51F6"/>
    <w:rsid w:val="00CE5F91"/>
    <w:rsid w:val="00CE72CF"/>
    <w:rsid w:val="00CF056F"/>
    <w:rsid w:val="00D0063A"/>
    <w:rsid w:val="00D075CA"/>
    <w:rsid w:val="00D23D91"/>
    <w:rsid w:val="00D27354"/>
    <w:rsid w:val="00D353DA"/>
    <w:rsid w:val="00D366FC"/>
    <w:rsid w:val="00D36C06"/>
    <w:rsid w:val="00D4188F"/>
    <w:rsid w:val="00D4245B"/>
    <w:rsid w:val="00D441D6"/>
    <w:rsid w:val="00D456E9"/>
    <w:rsid w:val="00D4579E"/>
    <w:rsid w:val="00D46027"/>
    <w:rsid w:val="00D46533"/>
    <w:rsid w:val="00D510A9"/>
    <w:rsid w:val="00D545FF"/>
    <w:rsid w:val="00D546DC"/>
    <w:rsid w:val="00D57932"/>
    <w:rsid w:val="00D63984"/>
    <w:rsid w:val="00D678B3"/>
    <w:rsid w:val="00D72907"/>
    <w:rsid w:val="00D77428"/>
    <w:rsid w:val="00D85F48"/>
    <w:rsid w:val="00D93D6D"/>
    <w:rsid w:val="00DA2C30"/>
    <w:rsid w:val="00DB79E2"/>
    <w:rsid w:val="00DC0F99"/>
    <w:rsid w:val="00DD134A"/>
    <w:rsid w:val="00DD2F88"/>
    <w:rsid w:val="00DD38A3"/>
    <w:rsid w:val="00DF40C9"/>
    <w:rsid w:val="00DF7F2A"/>
    <w:rsid w:val="00E03AB9"/>
    <w:rsid w:val="00E03B38"/>
    <w:rsid w:val="00E04BF6"/>
    <w:rsid w:val="00E166BD"/>
    <w:rsid w:val="00E21C1F"/>
    <w:rsid w:val="00E23893"/>
    <w:rsid w:val="00E24A4F"/>
    <w:rsid w:val="00E25033"/>
    <w:rsid w:val="00E3284A"/>
    <w:rsid w:val="00E34C23"/>
    <w:rsid w:val="00E358B7"/>
    <w:rsid w:val="00E37377"/>
    <w:rsid w:val="00E43824"/>
    <w:rsid w:val="00E51C7B"/>
    <w:rsid w:val="00E51FB2"/>
    <w:rsid w:val="00E53385"/>
    <w:rsid w:val="00E5571C"/>
    <w:rsid w:val="00E601DE"/>
    <w:rsid w:val="00E6039A"/>
    <w:rsid w:val="00E65671"/>
    <w:rsid w:val="00E6652A"/>
    <w:rsid w:val="00E7019E"/>
    <w:rsid w:val="00E71295"/>
    <w:rsid w:val="00E842FE"/>
    <w:rsid w:val="00E9259E"/>
    <w:rsid w:val="00E962BB"/>
    <w:rsid w:val="00E96C20"/>
    <w:rsid w:val="00EA21DB"/>
    <w:rsid w:val="00EB2070"/>
    <w:rsid w:val="00EB4CF4"/>
    <w:rsid w:val="00EB795D"/>
    <w:rsid w:val="00EC104F"/>
    <w:rsid w:val="00EC2EBA"/>
    <w:rsid w:val="00ED2436"/>
    <w:rsid w:val="00ED5498"/>
    <w:rsid w:val="00EE0DA0"/>
    <w:rsid w:val="00EE1FA8"/>
    <w:rsid w:val="00EE3AAF"/>
    <w:rsid w:val="00EE56ED"/>
    <w:rsid w:val="00EE689B"/>
    <w:rsid w:val="00EF048B"/>
    <w:rsid w:val="00EF75C7"/>
    <w:rsid w:val="00F0605F"/>
    <w:rsid w:val="00F12E47"/>
    <w:rsid w:val="00F1795B"/>
    <w:rsid w:val="00F23723"/>
    <w:rsid w:val="00F41B77"/>
    <w:rsid w:val="00F51639"/>
    <w:rsid w:val="00F57E07"/>
    <w:rsid w:val="00F622D7"/>
    <w:rsid w:val="00F656F9"/>
    <w:rsid w:val="00F663ED"/>
    <w:rsid w:val="00F724A9"/>
    <w:rsid w:val="00F7299B"/>
    <w:rsid w:val="00F74FD1"/>
    <w:rsid w:val="00F87053"/>
    <w:rsid w:val="00F92B1C"/>
    <w:rsid w:val="00F93A68"/>
    <w:rsid w:val="00FA39DF"/>
    <w:rsid w:val="00FB51D3"/>
    <w:rsid w:val="00FD4291"/>
    <w:rsid w:val="00FD42FA"/>
    <w:rsid w:val="00FE0C40"/>
    <w:rsid w:val="00FE3500"/>
    <w:rsid w:val="00FF3465"/>
    <w:rsid w:val="00FF3FAB"/>
    <w:rsid w:val="00FF5724"/>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56FDD90"/>
  <w15:chartTrackingRefBased/>
  <w15:docId w15:val="{5CDA00B7-332E-4B4D-B189-F6A2C58820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ZA" w:eastAsia="en-US" w:bidi="ar-SA"/>
      </w:rPr>
    </w:rPrDefault>
    <w:pPrDefault>
      <w:pPr>
        <w:spacing w:after="21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6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E423D"/>
    <w:rPr>
      <w:rFonts w:ascii="Franklin Gothic Book" w:eastAsia="Times New Roman" w:hAnsi="Franklin Gothic Book" w:cs="Times New Roman"/>
      <w:color w:val="4A4D56" w:themeColor="text1"/>
      <w:lang w:val="en-US"/>
    </w:rPr>
  </w:style>
  <w:style w:type="paragraph" w:styleId="Heading1">
    <w:name w:val="heading 1"/>
    <w:next w:val="Normal"/>
    <w:uiPriority w:val="9"/>
    <w:qFormat/>
    <w:rsid w:val="00CB73B5"/>
    <w:pPr>
      <w:keepNext/>
      <w:keepLines/>
      <w:pageBreakBefore/>
      <w:numPr>
        <w:numId w:val="6"/>
      </w:numPr>
      <w:suppressAutoHyphens/>
      <w:spacing w:before="300" w:after="240" w:line="240" w:lineRule="auto"/>
      <w:outlineLvl w:val="0"/>
    </w:pPr>
    <w:rPr>
      <w:rFonts w:ascii="Rift Soft Medium" w:eastAsia="Times New Roman" w:hAnsi="Rift Soft Medium" w:cs="Times New Roman"/>
      <w:color w:val="053572"/>
      <w:sz w:val="44"/>
      <w:szCs w:val="24"/>
      <w:lang w:val="en-US"/>
    </w:rPr>
  </w:style>
  <w:style w:type="paragraph" w:styleId="Heading2">
    <w:name w:val="heading 2"/>
    <w:basedOn w:val="Heading1"/>
    <w:next w:val="Normal"/>
    <w:uiPriority w:val="9"/>
    <w:qFormat/>
    <w:rsid w:val="001754EE"/>
    <w:pPr>
      <w:pageBreakBefore w:val="0"/>
      <w:numPr>
        <w:ilvl w:val="1"/>
      </w:numPr>
      <w:outlineLvl w:val="1"/>
    </w:pPr>
    <w:rPr>
      <w:color w:val="416DCB" w:themeColor="accent1" w:themeTint="99"/>
      <w:sz w:val="40"/>
    </w:rPr>
  </w:style>
  <w:style w:type="paragraph" w:styleId="Heading3">
    <w:name w:val="heading 3"/>
    <w:basedOn w:val="Heading1"/>
    <w:next w:val="Normal"/>
    <w:uiPriority w:val="9"/>
    <w:qFormat/>
    <w:rsid w:val="008B776D"/>
    <w:pPr>
      <w:pageBreakBefore w:val="0"/>
      <w:numPr>
        <w:ilvl w:val="2"/>
      </w:numPr>
      <w:outlineLvl w:val="2"/>
    </w:pPr>
    <w:rPr>
      <w:color w:val="1FA9E1" w:themeColor="accent3"/>
      <w:sz w:val="36"/>
    </w:rPr>
  </w:style>
  <w:style w:type="paragraph" w:styleId="Heading4">
    <w:name w:val="heading 4"/>
    <w:basedOn w:val="Normal"/>
    <w:link w:val="Heading4Char"/>
    <w:uiPriority w:val="9"/>
    <w:qFormat/>
    <w:rsid w:val="00473485"/>
    <w:pPr>
      <w:spacing w:before="240" w:after="180"/>
      <w:outlineLvl w:val="3"/>
    </w:pPr>
    <w:rPr>
      <w:rFonts w:ascii="Rift Soft Medium" w:hAnsi="Rift Soft Medium" w:cs="Arial"/>
      <w:bCs/>
      <w:color w:val="053572" w:themeColor="text2"/>
      <w:sz w:val="32"/>
      <w:szCs w:val="24"/>
    </w:rPr>
  </w:style>
  <w:style w:type="paragraph" w:styleId="Heading5">
    <w:name w:val="heading 5"/>
    <w:basedOn w:val="Heading4"/>
    <w:uiPriority w:val="9"/>
    <w:rsid w:val="00A7034E"/>
    <w:pPr>
      <w:spacing w:after="160"/>
      <w:outlineLvl w:val="4"/>
    </w:pPr>
    <w:rPr>
      <w:rFonts w:asciiTheme="majorHAnsi" w:hAnsiTheme="majorHAnsi"/>
      <w:iCs/>
      <w:color w:val="416DCB" w:themeColor="accent1" w:themeTint="99"/>
      <w:sz w:val="26"/>
      <w:szCs w:val="22"/>
    </w:rPr>
  </w:style>
  <w:style w:type="paragraph" w:styleId="Heading6">
    <w:name w:val="heading 6"/>
    <w:next w:val="Normal"/>
    <w:uiPriority w:val="9"/>
    <w:rsid w:val="00A7034E"/>
    <w:pPr>
      <w:spacing w:after="120"/>
      <w:outlineLvl w:val="5"/>
    </w:pPr>
    <w:rPr>
      <w:rFonts w:ascii="Franklin Gothic Medium" w:eastAsia="Times New Roman" w:hAnsi="Franklin Gothic Medium" w:cs="Arial"/>
      <w:bCs/>
      <w:iCs/>
      <w:color w:val="1FA9E1" w:themeColor="accent3"/>
      <w:sz w:val="24"/>
      <w:szCs w:val="21"/>
      <w:lang w:val="en-US"/>
    </w:rPr>
  </w:style>
  <w:style w:type="paragraph" w:styleId="Heading7">
    <w:name w:val="heading 7"/>
    <w:aliases w:val="Appendix Alpha"/>
    <w:basedOn w:val="Heading6"/>
    <w:next w:val="Normal"/>
    <w:uiPriority w:val="2"/>
    <w:qFormat/>
    <w:rsid w:val="00E37377"/>
    <w:pPr>
      <w:pageBreakBefore/>
      <w:spacing w:line="240" w:lineRule="auto"/>
      <w:outlineLvl w:val="6"/>
    </w:pPr>
    <w:rPr>
      <w:rFonts w:asciiTheme="majorHAnsi" w:hAnsiTheme="majorHAnsi"/>
      <w:color w:val="78CBED" w:themeColor="accent3" w:themeTint="99"/>
      <w:sz w:val="22"/>
      <w:szCs w:val="36"/>
    </w:rPr>
  </w:style>
  <w:style w:type="paragraph" w:styleId="Heading8">
    <w:name w:val="heading 8"/>
    <w:basedOn w:val="Heading7"/>
    <w:next w:val="Normal"/>
    <w:uiPriority w:val="2"/>
    <w:qFormat/>
    <w:rsid w:val="00E37377"/>
    <w:pPr>
      <w:pageBreakBefore w:val="0"/>
      <w:outlineLvl w:val="7"/>
    </w:pPr>
    <w:rPr>
      <w:color w:val="4A4D56" w:themeColor="text1"/>
    </w:rPr>
  </w:style>
  <w:style w:type="paragraph" w:styleId="Heading9">
    <w:name w:val="heading 9"/>
    <w:basedOn w:val="Heading8"/>
    <w:next w:val="Normal"/>
    <w:uiPriority w:val="2"/>
    <w:qFormat/>
    <w:rsid w:val="00E37377"/>
    <w:pPr>
      <w:numPr>
        <w:ilvl w:val="2"/>
      </w:numPr>
      <w:outlineLvl w:val="8"/>
    </w:pPr>
    <w:rPr>
      <w:rFonts w:ascii="Franklin Gothic Book" w:hAnsi="Franklin Gothic Book"/>
      <w:color w:val="053572" w:themeColor="text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next w:val="Normal"/>
    <w:link w:val="FooterChar"/>
    <w:uiPriority w:val="69"/>
    <w:rsid w:val="001E0E4B"/>
    <w:pPr>
      <w:tabs>
        <w:tab w:val="center" w:pos="4320"/>
        <w:tab w:val="right" w:pos="9360"/>
      </w:tabs>
      <w:spacing w:after="0"/>
      <w:jc w:val="right"/>
    </w:pPr>
    <w:rPr>
      <w:noProof/>
      <w:color w:val="A6A6A6" w:themeColor="background1" w:themeShade="A6"/>
      <w:sz w:val="20"/>
      <w:szCs w:val="20"/>
    </w:rPr>
  </w:style>
  <w:style w:type="character" w:customStyle="1" w:styleId="FooterChar">
    <w:name w:val="Footer Char"/>
    <w:basedOn w:val="DefaultParagraphFont"/>
    <w:link w:val="Footer"/>
    <w:uiPriority w:val="69"/>
    <w:rsid w:val="001E0E4B"/>
    <w:rPr>
      <w:rFonts w:ascii="Franklin Gothic Book" w:eastAsia="Times New Roman" w:hAnsi="Franklin Gothic Book" w:cs="Times New Roman"/>
      <w:noProof/>
      <w:color w:val="A6A6A6" w:themeColor="background1" w:themeShade="A6"/>
      <w:sz w:val="20"/>
      <w:szCs w:val="20"/>
      <w:lang w:val="en-US"/>
    </w:rPr>
  </w:style>
  <w:style w:type="paragraph" w:styleId="TOAHeading">
    <w:name w:val="toa heading"/>
    <w:basedOn w:val="TableofFigures"/>
    <w:next w:val="Normal"/>
    <w:uiPriority w:val="99"/>
    <w:unhideWhenUsed/>
    <w:rsid w:val="00C677C7"/>
    <w:pPr>
      <w:ind w:right="-4"/>
    </w:pPr>
    <w:rPr>
      <w:rFonts w:ascii="Rift Soft" w:hAnsi="Rift Soft"/>
      <w:color w:val="053572"/>
      <w:sz w:val="48"/>
      <w:szCs w:val="48"/>
    </w:rPr>
  </w:style>
  <w:style w:type="character" w:styleId="Strong">
    <w:name w:val="Strong"/>
    <w:aliases w:val="Resume Style 1"/>
    <w:uiPriority w:val="22"/>
    <w:qFormat/>
    <w:rsid w:val="00473485"/>
    <w:rPr>
      <w:rFonts w:ascii="Franklin Gothic Medium" w:hAnsi="Franklin Gothic Medium"/>
      <w:color w:val="053572" w:themeColor="text2"/>
      <w:sz w:val="24"/>
    </w:rPr>
  </w:style>
  <w:style w:type="paragraph" w:styleId="BalloonText">
    <w:name w:val="Balloon Text"/>
    <w:basedOn w:val="Normal"/>
    <w:semiHidden/>
    <w:rsid w:val="00B51ADD"/>
    <w:rPr>
      <w:rFonts w:ascii="Tahoma" w:hAnsi="Tahoma" w:cs="Tahoma"/>
      <w:sz w:val="16"/>
      <w:szCs w:val="16"/>
    </w:rPr>
  </w:style>
  <w:style w:type="paragraph" w:styleId="BodyText">
    <w:name w:val="Body Text"/>
    <w:basedOn w:val="Normal"/>
    <w:link w:val="BodyTextChar"/>
    <w:uiPriority w:val="69"/>
    <w:semiHidden/>
    <w:rsid w:val="001F4D82"/>
  </w:style>
  <w:style w:type="paragraph" w:customStyle="1" w:styleId="Bullet1">
    <w:name w:val="Bullet 1"/>
    <w:basedOn w:val="Normal"/>
    <w:next w:val="Normal"/>
    <w:uiPriority w:val="99"/>
    <w:semiHidden/>
    <w:qFormat/>
    <w:rsid w:val="00F54AE8"/>
    <w:pPr>
      <w:numPr>
        <w:numId w:val="1"/>
      </w:numPr>
      <w:tabs>
        <w:tab w:val="num" w:pos="360"/>
      </w:tabs>
      <w:spacing w:after="120"/>
      <w:ind w:left="0" w:firstLine="0"/>
    </w:pPr>
  </w:style>
  <w:style w:type="paragraph" w:customStyle="1" w:styleId="Bullet2">
    <w:name w:val="Bullet 2"/>
    <w:basedOn w:val="Normal"/>
    <w:next w:val="Normal"/>
    <w:uiPriority w:val="99"/>
    <w:semiHidden/>
    <w:qFormat/>
    <w:rsid w:val="00F54AE8"/>
    <w:pPr>
      <w:numPr>
        <w:ilvl w:val="1"/>
        <w:numId w:val="2"/>
      </w:numPr>
      <w:tabs>
        <w:tab w:val="num" w:pos="360"/>
      </w:tabs>
      <w:spacing w:after="120"/>
      <w:ind w:left="0" w:firstLine="0"/>
    </w:pPr>
  </w:style>
  <w:style w:type="paragraph" w:customStyle="1" w:styleId="Bullet3">
    <w:name w:val="Bullet 3"/>
    <w:basedOn w:val="Normal"/>
    <w:next w:val="Normal"/>
    <w:uiPriority w:val="99"/>
    <w:semiHidden/>
    <w:qFormat/>
    <w:rsid w:val="00F54AE8"/>
    <w:pPr>
      <w:numPr>
        <w:ilvl w:val="2"/>
        <w:numId w:val="3"/>
      </w:numPr>
      <w:spacing w:after="120"/>
    </w:pPr>
  </w:style>
  <w:style w:type="paragraph" w:styleId="Caption">
    <w:name w:val="caption"/>
    <w:link w:val="CaptionChar"/>
    <w:autoRedefine/>
    <w:uiPriority w:val="35"/>
    <w:qFormat/>
    <w:rsid w:val="00813BC9"/>
    <w:pPr>
      <w:keepNext/>
      <w:jc w:val="center"/>
    </w:pPr>
    <w:rPr>
      <w:rFonts w:ascii="Franklin Gothic Book" w:eastAsia="Times New Roman" w:hAnsi="Franklin Gothic Book" w:cs="Times New Roman"/>
      <w:bCs/>
      <w:color w:val="4A4D56" w:themeColor="text1"/>
      <w:szCs w:val="20"/>
      <w:lang w:val="en-US"/>
    </w:rPr>
  </w:style>
  <w:style w:type="paragraph" w:customStyle="1" w:styleId="CaptionFigure">
    <w:name w:val="Caption Figure"/>
    <w:uiPriority w:val="99"/>
    <w:semiHidden/>
    <w:qFormat/>
    <w:locked/>
    <w:rsid w:val="000C2EF9"/>
    <w:pPr>
      <w:keepNext/>
      <w:numPr>
        <w:numId w:val="4"/>
      </w:numPr>
      <w:spacing w:before="200" w:after="80" w:line="240" w:lineRule="auto"/>
      <w:jc w:val="center"/>
    </w:pPr>
    <w:rPr>
      <w:rFonts w:eastAsia="Times New Roman" w:cs="Times New Roman"/>
      <w:bCs/>
      <w:color w:val="4A4D56" w:themeColor="text1"/>
      <w:szCs w:val="20"/>
      <w:lang w:val="en-US"/>
    </w:rPr>
  </w:style>
  <w:style w:type="paragraph" w:customStyle="1" w:styleId="CaptionTable">
    <w:name w:val="Caption Table"/>
    <w:uiPriority w:val="99"/>
    <w:semiHidden/>
    <w:qFormat/>
    <w:locked/>
    <w:rsid w:val="000C2EF9"/>
    <w:pPr>
      <w:keepNext/>
      <w:numPr>
        <w:numId w:val="5"/>
      </w:numPr>
      <w:spacing w:before="200" w:after="80" w:line="240" w:lineRule="auto"/>
      <w:jc w:val="center"/>
    </w:pPr>
    <w:rPr>
      <w:rFonts w:eastAsia="Times New Roman" w:cs="Times New Roman"/>
      <w:bCs/>
      <w:color w:val="4A4D56" w:themeColor="text1"/>
      <w:szCs w:val="20"/>
      <w:lang w:val="en-US"/>
    </w:rPr>
  </w:style>
  <w:style w:type="paragraph" w:customStyle="1" w:styleId="CenterTableText">
    <w:name w:val="Center Table Text"/>
    <w:uiPriority w:val="14"/>
    <w:semiHidden/>
    <w:rsid w:val="00BD0DC6"/>
    <w:pPr>
      <w:spacing w:after="0" w:line="240" w:lineRule="auto"/>
      <w:jc w:val="center"/>
    </w:pPr>
    <w:rPr>
      <w:rFonts w:ascii="Franklin Gothic Book" w:eastAsia="Times New Roman" w:hAnsi="Franklin Gothic Book" w:cs="Times New Roman"/>
      <w:sz w:val="20"/>
      <w:lang w:val="en-US"/>
    </w:rPr>
  </w:style>
  <w:style w:type="paragraph" w:customStyle="1" w:styleId="TOC3Style">
    <w:name w:val="TOC 3 Style"/>
    <w:basedOn w:val="TOC3"/>
    <w:semiHidden/>
    <w:rsid w:val="001C4ACA"/>
    <w:pPr>
      <w:ind w:right="-4"/>
    </w:pPr>
    <w:rPr>
      <w:szCs w:val="20"/>
    </w:rPr>
  </w:style>
  <w:style w:type="paragraph" w:styleId="CommentSubject">
    <w:name w:val="annotation subject"/>
    <w:semiHidden/>
    <w:rsid w:val="00B51ADD"/>
    <w:pPr>
      <w:spacing w:before="200" w:line="240" w:lineRule="auto"/>
      <w:jc w:val="both"/>
    </w:pPr>
    <w:rPr>
      <w:rFonts w:ascii="Franklin Gothic Book" w:eastAsia="Times New Roman" w:hAnsi="Franklin Gothic Book" w:cs="Times New Roman"/>
      <w:b/>
      <w:bCs/>
      <w:sz w:val="20"/>
      <w:szCs w:val="20"/>
      <w:lang w:val="en-US"/>
    </w:rPr>
  </w:style>
  <w:style w:type="paragraph" w:styleId="CommentText">
    <w:name w:val="annotation text"/>
    <w:basedOn w:val="Normal"/>
    <w:link w:val="CommentTextChar"/>
    <w:uiPriority w:val="99"/>
    <w:semiHidden/>
    <w:rsid w:val="00B51ADD"/>
    <w:rPr>
      <w:sz w:val="20"/>
      <w:szCs w:val="20"/>
    </w:rPr>
  </w:style>
  <w:style w:type="character" w:styleId="Emphasis">
    <w:name w:val="Emphasis"/>
    <w:basedOn w:val="DefaultParagraphFont"/>
    <w:uiPriority w:val="4"/>
    <w:qFormat/>
    <w:rsid w:val="00B51ADD"/>
    <w:rPr>
      <w:i/>
      <w:iCs/>
    </w:rPr>
  </w:style>
  <w:style w:type="paragraph" w:styleId="EndnoteText">
    <w:name w:val="endnote text"/>
    <w:basedOn w:val="Normal"/>
    <w:link w:val="EndnoteTextChar"/>
    <w:uiPriority w:val="69"/>
    <w:rsid w:val="002A6F47"/>
    <w:pPr>
      <w:spacing w:after="0"/>
    </w:pPr>
    <w:rPr>
      <w:sz w:val="18"/>
      <w:szCs w:val="20"/>
    </w:rPr>
  </w:style>
  <w:style w:type="paragraph" w:customStyle="1" w:styleId="FigureCaption">
    <w:name w:val="Figure_Caption"/>
    <w:basedOn w:val="Normal"/>
    <w:next w:val="Normal"/>
    <w:uiPriority w:val="3"/>
    <w:semiHidden/>
    <w:qFormat/>
    <w:locked/>
    <w:rsid w:val="00B51ADD"/>
    <w:pPr>
      <w:keepNext/>
      <w:keepLines/>
      <w:suppressAutoHyphens/>
      <w:spacing w:before="320" w:after="120"/>
      <w:jc w:val="center"/>
    </w:pPr>
    <w:rPr>
      <w:b/>
    </w:rPr>
  </w:style>
  <w:style w:type="character" w:styleId="FollowedHyperlink">
    <w:name w:val="FollowedHyperlink"/>
    <w:basedOn w:val="DefaultParagraphFont"/>
    <w:uiPriority w:val="69"/>
    <w:rsid w:val="001C4ACA"/>
    <w:rPr>
      <w:rFonts w:asciiTheme="minorHAnsi" w:hAnsiTheme="minorHAnsi"/>
      <w:color w:val="5661AC" w:themeColor="accent5"/>
      <w:sz w:val="22"/>
      <w:u w:val="single"/>
    </w:rPr>
  </w:style>
  <w:style w:type="character" w:styleId="FootnoteReference">
    <w:name w:val="footnote reference"/>
    <w:basedOn w:val="DefaultParagraphFont"/>
    <w:uiPriority w:val="69"/>
    <w:rsid w:val="00B51ADD"/>
    <w:rPr>
      <w:vertAlign w:val="superscript"/>
    </w:rPr>
  </w:style>
  <w:style w:type="paragraph" w:styleId="FootnoteText">
    <w:name w:val="footnote text"/>
    <w:basedOn w:val="Normal"/>
    <w:link w:val="FootnoteTextChar"/>
    <w:uiPriority w:val="69"/>
    <w:rsid w:val="009753EA"/>
    <w:pPr>
      <w:spacing w:after="0"/>
    </w:pPr>
    <w:rPr>
      <w:sz w:val="18"/>
      <w:szCs w:val="20"/>
    </w:rPr>
  </w:style>
  <w:style w:type="paragraph" w:customStyle="1" w:styleId="GraphFootnote">
    <w:name w:val="Graph Footnote"/>
    <w:basedOn w:val="Normal"/>
    <w:next w:val="Normal"/>
    <w:uiPriority w:val="99"/>
    <w:semiHidden/>
    <w:locked/>
    <w:rsid w:val="00B51ADD"/>
    <w:pPr>
      <w:spacing w:after="0"/>
    </w:pPr>
    <w:rPr>
      <w:rFonts w:ascii="Times New Roman" w:hAnsi="Times New Roman"/>
      <w:i/>
      <w:sz w:val="18"/>
    </w:rPr>
  </w:style>
  <w:style w:type="table" w:styleId="GridTable1Light-Accent1">
    <w:name w:val="Grid Table 1 Light Accent 1"/>
    <w:basedOn w:val="TableNormal"/>
    <w:uiPriority w:val="46"/>
    <w:locked/>
    <w:rsid w:val="00D721EA"/>
    <w:pPr>
      <w:spacing w:before="200" w:after="0" w:line="240" w:lineRule="auto"/>
    </w:pPr>
    <w:rPr>
      <w:rFonts w:ascii="Franklin Gothic Book" w:eastAsia="Times New Roman" w:hAnsi="Franklin Gothic Book" w:cs="Times New Roman"/>
      <w:lang w:val="en-US"/>
    </w:rPr>
    <w:tblPr>
      <w:tblStyleRowBandSize w:val="1"/>
      <w:tblStyleColBandSize w:val="1"/>
      <w:tblBorders>
        <w:top w:val="single" w:sz="4" w:space="0" w:color="809EDC" w:themeColor="accent1" w:themeTint="66"/>
        <w:left w:val="single" w:sz="4" w:space="0" w:color="809EDC" w:themeColor="accent1" w:themeTint="66"/>
        <w:bottom w:val="single" w:sz="4" w:space="0" w:color="809EDC" w:themeColor="accent1" w:themeTint="66"/>
        <w:right w:val="single" w:sz="4" w:space="0" w:color="809EDC" w:themeColor="accent1" w:themeTint="66"/>
        <w:insideH w:val="single" w:sz="4" w:space="0" w:color="809EDC" w:themeColor="accent1" w:themeTint="66"/>
        <w:insideV w:val="single" w:sz="4" w:space="0" w:color="809EDC" w:themeColor="accent1" w:themeTint="66"/>
      </w:tblBorders>
    </w:tblPr>
    <w:tblStylePr w:type="firstRow">
      <w:rPr>
        <w:b/>
        <w:bCs/>
      </w:rPr>
      <w:tblPr/>
      <w:tcPr>
        <w:tcBorders>
          <w:bottom w:val="single" w:sz="12" w:space="0" w:color="416DCB" w:themeColor="accent1" w:themeTint="99"/>
        </w:tcBorders>
      </w:tcPr>
    </w:tblStylePr>
    <w:tblStylePr w:type="lastRow">
      <w:rPr>
        <w:b/>
        <w:bCs/>
      </w:rPr>
      <w:tblPr/>
      <w:tcPr>
        <w:tcBorders>
          <w:top w:val="double" w:sz="2" w:space="0" w:color="416DCB" w:themeColor="accent1" w:themeTint="99"/>
        </w:tcBorders>
      </w:tcPr>
    </w:tblStylePr>
    <w:tblStylePr w:type="firstCol">
      <w:rPr>
        <w:b/>
        <w:bCs/>
      </w:rPr>
    </w:tblStylePr>
    <w:tblStylePr w:type="lastCol">
      <w:rPr>
        <w:b/>
        <w:bCs/>
      </w:rPr>
    </w:tblStylePr>
  </w:style>
  <w:style w:type="paragraph" w:customStyle="1" w:styleId="Headernone">
    <w:name w:val="Header_none"/>
    <w:uiPriority w:val="1"/>
    <w:semiHidden/>
    <w:locked/>
    <w:rsid w:val="00B51ADD"/>
    <w:pPr>
      <w:tabs>
        <w:tab w:val="right" w:pos="9360"/>
      </w:tabs>
      <w:spacing w:before="200" w:line="240" w:lineRule="auto"/>
      <w:jc w:val="both"/>
    </w:pPr>
    <w:rPr>
      <w:rFonts w:ascii="Franklin Gothic Book" w:eastAsia="Times New Roman" w:hAnsi="Franklin Gothic Book" w:cs="Times New Roman"/>
      <w:i/>
      <w:noProof/>
      <w:sz w:val="16"/>
      <w:szCs w:val="16"/>
      <w:lang w:val="en-US"/>
    </w:rPr>
  </w:style>
  <w:style w:type="character" w:styleId="Hyperlink">
    <w:name w:val="Hyperlink"/>
    <w:basedOn w:val="DefaultParagraphFont"/>
    <w:uiPriority w:val="99"/>
    <w:rsid w:val="001C4ACA"/>
    <w:rPr>
      <w:rFonts w:asciiTheme="minorHAnsi" w:hAnsiTheme="minorHAnsi"/>
      <w:noProof/>
      <w:color w:val="5661AC" w:themeColor="accent5"/>
      <w:sz w:val="22"/>
      <w:u w:val="single"/>
    </w:rPr>
  </w:style>
  <w:style w:type="paragraph" w:styleId="Index1">
    <w:name w:val="index 1"/>
    <w:basedOn w:val="Normal"/>
    <w:next w:val="Normal"/>
    <w:autoRedefine/>
    <w:semiHidden/>
    <w:rsid w:val="00B51ADD"/>
    <w:pPr>
      <w:ind w:left="240" w:hanging="240"/>
    </w:pPr>
  </w:style>
  <w:style w:type="character" w:styleId="IntenseEmphasis">
    <w:name w:val="Intense Emphasis"/>
    <w:aliases w:val="Emphasis (Intense)"/>
    <w:basedOn w:val="DefaultParagraphFont"/>
    <w:uiPriority w:val="4"/>
    <w:rsid w:val="00E7019E"/>
    <w:rPr>
      <w:rFonts w:ascii="Franklin Gothic Demi" w:hAnsi="Franklin Gothic Demi"/>
      <w:b w:val="0"/>
      <w:i w:val="0"/>
      <w:iCs/>
      <w:color w:val="4A4D56" w:themeColor="text1"/>
      <w:sz w:val="22"/>
    </w:rPr>
  </w:style>
  <w:style w:type="paragraph" w:styleId="ListBullet">
    <w:name w:val="List Bullet"/>
    <w:aliases w:val="Bullet Level 1"/>
    <w:basedOn w:val="Normal"/>
    <w:uiPriority w:val="9"/>
    <w:qFormat/>
    <w:rsid w:val="002E20E6"/>
    <w:pPr>
      <w:numPr>
        <w:numId w:val="14"/>
      </w:numPr>
      <w:spacing w:before="120" w:after="120"/>
    </w:pPr>
  </w:style>
  <w:style w:type="paragraph" w:styleId="ListBullet2">
    <w:name w:val="List Bullet 2"/>
    <w:aliases w:val="Bullet Level 2"/>
    <w:basedOn w:val="ListBullet"/>
    <w:uiPriority w:val="9"/>
    <w:qFormat/>
    <w:rsid w:val="001C32D6"/>
    <w:pPr>
      <w:numPr>
        <w:ilvl w:val="1"/>
      </w:numPr>
      <w:ind w:left="735" w:hanging="285"/>
    </w:pPr>
  </w:style>
  <w:style w:type="paragraph" w:styleId="ListBullet3">
    <w:name w:val="List Bullet 3"/>
    <w:aliases w:val="Bullet Level 3"/>
    <w:basedOn w:val="ListBullet2"/>
    <w:uiPriority w:val="9"/>
    <w:qFormat/>
    <w:rsid w:val="001C32D6"/>
    <w:pPr>
      <w:numPr>
        <w:ilvl w:val="2"/>
      </w:numPr>
      <w:ind w:left="1035" w:hanging="285"/>
    </w:pPr>
  </w:style>
  <w:style w:type="paragraph" w:styleId="ListNumber">
    <w:name w:val="List Number"/>
    <w:basedOn w:val="Normal"/>
    <w:uiPriority w:val="99"/>
    <w:semiHidden/>
    <w:rsid w:val="00351E32"/>
    <w:pPr>
      <w:numPr>
        <w:numId w:val="7"/>
      </w:numPr>
      <w:spacing w:after="120"/>
    </w:pPr>
  </w:style>
  <w:style w:type="paragraph" w:styleId="ListNumber2">
    <w:name w:val="List Number 2"/>
    <w:basedOn w:val="Normal"/>
    <w:uiPriority w:val="99"/>
    <w:semiHidden/>
    <w:rsid w:val="00351E32"/>
    <w:pPr>
      <w:numPr>
        <w:numId w:val="8"/>
      </w:numPr>
      <w:spacing w:after="120"/>
    </w:pPr>
  </w:style>
  <w:style w:type="paragraph" w:styleId="ListNumber3">
    <w:name w:val="List Number 3"/>
    <w:basedOn w:val="Normal"/>
    <w:uiPriority w:val="99"/>
    <w:semiHidden/>
    <w:rsid w:val="004D778A"/>
    <w:pPr>
      <w:numPr>
        <w:numId w:val="9"/>
      </w:numPr>
      <w:contextualSpacing/>
    </w:pPr>
  </w:style>
  <w:style w:type="paragraph" w:customStyle="1" w:styleId="ListNumber1">
    <w:name w:val="List Number1"/>
    <w:basedOn w:val="Normal"/>
    <w:uiPriority w:val="99"/>
    <w:semiHidden/>
    <w:locked/>
    <w:rsid w:val="00351E32"/>
    <w:pPr>
      <w:tabs>
        <w:tab w:val="num" w:pos="360"/>
      </w:tabs>
      <w:spacing w:after="120"/>
      <w:ind w:left="360" w:hanging="360"/>
    </w:pPr>
  </w:style>
  <w:style w:type="paragraph" w:styleId="ListParagraph">
    <w:name w:val="List Paragraph"/>
    <w:basedOn w:val="Normal"/>
    <w:uiPriority w:val="1"/>
    <w:rsid w:val="00BD0DC6"/>
    <w:pPr>
      <w:ind w:left="720"/>
      <w:contextualSpacing/>
    </w:pPr>
  </w:style>
  <w:style w:type="table" w:styleId="ListTable7Colorful-Accent1">
    <w:name w:val="List Table 7 Colorful Accent 1"/>
    <w:basedOn w:val="TableNormal"/>
    <w:uiPriority w:val="52"/>
    <w:locked/>
    <w:rsid w:val="006B3D7D"/>
    <w:pPr>
      <w:spacing w:after="0" w:line="240" w:lineRule="auto"/>
    </w:pPr>
    <w:rPr>
      <w:rFonts w:ascii="Franklin Gothic Book" w:eastAsia="Franklin Gothic Book" w:hAnsi="Franklin Gothic Book" w:cs="Times New Roman"/>
      <w:color w:val="032755"/>
      <w:lang w:val="en-US"/>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172B54"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172B54"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172B54"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172B54" w:themeColor="accent1"/>
        </w:tcBorders>
        <w:shd w:val="clear" w:color="auto" w:fill="FFFFFF" w:themeFill="background1"/>
      </w:tcPr>
    </w:tblStylePr>
    <w:tblStylePr w:type="band1Vert">
      <w:tblPr/>
      <w:tcPr>
        <w:shd w:val="clear" w:color="auto" w:fill="BFCEED" w:themeFill="accent1" w:themeFillTint="33"/>
      </w:tcPr>
    </w:tblStylePr>
    <w:tblStylePr w:type="band1Horz">
      <w:tblPr/>
      <w:tcPr>
        <w:shd w:val="clear" w:color="auto" w:fill="BFCEED"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NoSpacing">
    <w:name w:val="No Spacing"/>
    <w:basedOn w:val="Normal"/>
    <w:link w:val="NoSpacingChar"/>
    <w:uiPriority w:val="1"/>
    <w:qFormat/>
    <w:rsid w:val="00F6662D"/>
    <w:pPr>
      <w:spacing w:after="0"/>
    </w:pPr>
  </w:style>
  <w:style w:type="paragraph" w:customStyle="1" w:styleId="NoList1">
    <w:name w:val="No. List 1"/>
    <w:uiPriority w:val="9"/>
    <w:rsid w:val="00E65671"/>
    <w:pPr>
      <w:numPr>
        <w:numId w:val="10"/>
      </w:numPr>
      <w:spacing w:after="120" w:line="240" w:lineRule="auto"/>
      <w:jc w:val="both"/>
    </w:pPr>
    <w:rPr>
      <w:rFonts w:ascii="Franklin Gothic Book" w:eastAsia="Times New Roman" w:hAnsi="Franklin Gothic Book" w:cs="Times New Roman"/>
      <w:color w:val="4A4D56" w:themeColor="text1"/>
      <w:lang w:val="en-US"/>
    </w:rPr>
  </w:style>
  <w:style w:type="paragraph" w:customStyle="1" w:styleId="NoList2">
    <w:name w:val="No. List 2"/>
    <w:uiPriority w:val="9"/>
    <w:rsid w:val="00E65671"/>
    <w:pPr>
      <w:numPr>
        <w:ilvl w:val="1"/>
        <w:numId w:val="11"/>
      </w:numPr>
      <w:spacing w:after="120" w:line="240" w:lineRule="auto"/>
      <w:jc w:val="both"/>
    </w:pPr>
    <w:rPr>
      <w:rFonts w:ascii="Franklin Gothic Book" w:eastAsia="Times New Roman" w:hAnsi="Franklin Gothic Book" w:cs="Times New Roman"/>
      <w:color w:val="4A4D56" w:themeColor="text1"/>
      <w:lang w:val="en-US"/>
    </w:rPr>
  </w:style>
  <w:style w:type="paragraph" w:customStyle="1" w:styleId="NoList3">
    <w:name w:val="No. List 3"/>
    <w:uiPriority w:val="9"/>
    <w:rsid w:val="00E65671"/>
    <w:pPr>
      <w:numPr>
        <w:ilvl w:val="2"/>
        <w:numId w:val="12"/>
      </w:numPr>
      <w:spacing w:after="120" w:line="240" w:lineRule="auto"/>
      <w:jc w:val="both"/>
    </w:pPr>
    <w:rPr>
      <w:rFonts w:ascii="Franklin Gothic Book" w:eastAsia="Times New Roman" w:hAnsi="Franklin Gothic Book" w:cs="Times New Roman"/>
      <w:color w:val="4A4D56" w:themeColor="text1"/>
      <w:lang w:val="en-US"/>
    </w:rPr>
  </w:style>
  <w:style w:type="paragraph" w:styleId="NormalWeb">
    <w:name w:val="Normal (Web)"/>
    <w:basedOn w:val="Normal"/>
    <w:uiPriority w:val="99"/>
    <w:semiHidden/>
    <w:rsid w:val="00B51ADD"/>
    <w:pPr>
      <w:spacing w:before="100" w:beforeAutospacing="1" w:after="100" w:afterAutospacing="1"/>
    </w:pPr>
    <w:rPr>
      <w:rFonts w:ascii="Times New Roman" w:hAnsi="Times New Roman"/>
    </w:rPr>
  </w:style>
  <w:style w:type="paragraph" w:customStyle="1" w:styleId="NormalCenter">
    <w:name w:val="Normal Center"/>
    <w:basedOn w:val="Normal"/>
    <w:uiPriority w:val="1"/>
    <w:rsid w:val="001E1344"/>
    <w:pPr>
      <w:jc w:val="center"/>
    </w:pPr>
    <w:rPr>
      <w:noProof/>
    </w:rPr>
  </w:style>
  <w:style w:type="numbering" w:customStyle="1" w:styleId="ODBulletList">
    <w:name w:val="OD Bullet List"/>
    <w:uiPriority w:val="99"/>
    <w:rsid w:val="0028728B"/>
  </w:style>
  <w:style w:type="numbering" w:customStyle="1" w:styleId="ODNumberList">
    <w:name w:val="OD Number List"/>
    <w:uiPriority w:val="99"/>
    <w:rsid w:val="00BD0DC6"/>
  </w:style>
  <w:style w:type="table" w:customStyle="1" w:styleId="ODCBasic-1">
    <w:name w:val="ODC_Basic-1"/>
    <w:basedOn w:val="TableNormal"/>
    <w:uiPriority w:val="99"/>
    <w:qFormat/>
    <w:rsid w:val="00E6039A"/>
    <w:pPr>
      <w:spacing w:after="0" w:line="240" w:lineRule="auto"/>
    </w:pPr>
    <w:rPr>
      <w:rFonts w:ascii="Franklin Gothic Book" w:eastAsia="Times New Roman" w:hAnsi="Franklin Gothic Book" w:cs="Times New Roman"/>
      <w:color w:val="FFFFFF" w:themeColor="background1"/>
      <w:sz w:val="18"/>
      <w:szCs w:val="20"/>
      <w:lang w:val="en-US"/>
    </w:rPr>
    <w:tblPr>
      <w:tblStyleRowBandSize w:val="1"/>
      <w:tblStyleColBandSize w:val="1"/>
      <w:jc w:val="center"/>
      <w:tblBorders>
        <w:top w:val="single" w:sz="4" w:space="0" w:color="4D4D4F"/>
        <w:left w:val="single" w:sz="4" w:space="0" w:color="4D4D4F"/>
        <w:bottom w:val="single" w:sz="4" w:space="0" w:color="4D4D4F"/>
        <w:right w:val="single" w:sz="4" w:space="0" w:color="4D4D4F"/>
        <w:insideH w:val="single" w:sz="4" w:space="0" w:color="4D4D4F"/>
        <w:insideV w:val="single" w:sz="4" w:space="0" w:color="4D4D4F"/>
      </w:tblBorders>
      <w:tblCellMar>
        <w:top w:w="29" w:type="dxa"/>
        <w:left w:w="72" w:type="dxa"/>
        <w:bottom w:w="29" w:type="dxa"/>
        <w:right w:w="72" w:type="dxa"/>
      </w:tblCellMar>
    </w:tblPr>
    <w:trPr>
      <w:jc w:val="center"/>
    </w:trPr>
    <w:tcPr>
      <w:shd w:val="clear" w:color="auto" w:fill="auto"/>
      <w:vAlign w:val="center"/>
    </w:tcPr>
    <w:tblStylePr w:type="firstRow">
      <w:pPr>
        <w:wordWrap/>
        <w:spacing w:beforeLines="0" w:before="0" w:beforeAutospacing="0" w:afterLines="0" w:after="0" w:afterAutospacing="0" w:line="240" w:lineRule="auto"/>
        <w:ind w:leftChars="0" w:left="0" w:rightChars="0" w:right="0" w:firstLineChars="0" w:firstLine="0"/>
        <w:contextualSpacing/>
        <w:jc w:val="center"/>
        <w:outlineLvl w:val="9"/>
      </w:pPr>
      <w:rPr>
        <w:rFonts w:ascii="Franklin Gothic Book" w:hAnsi="Franklin Gothic Book"/>
        <w:b w:val="0"/>
        <w:i w:val="0"/>
        <w:iCs/>
        <w:color w:val="1FA9E1" w:themeColor="accent3"/>
        <w:sz w:val="18"/>
      </w:rPr>
      <w:tblPr/>
      <w:tcPr>
        <w:tcBorders>
          <w:bottom w:val="single" w:sz="4" w:space="0" w:color="FFFFFF" w:themeColor="background2"/>
        </w:tcBorders>
        <w:shd w:val="clear" w:color="auto" w:fill="053572" w:themeFill="text2"/>
      </w:tcPr>
    </w:tblStylePr>
    <w:tblStylePr w:type="lastRow">
      <w:pPr>
        <w:jc w:val="left"/>
      </w:pPr>
      <w:rPr>
        <w:rFonts w:asciiTheme="minorHAnsi" w:hAnsiTheme="minorHAnsi"/>
        <w:b/>
        <w:color w:val="auto"/>
        <w:sz w:val="20"/>
      </w:r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l2br w:val="none" w:sz="0" w:space="0" w:color="auto"/>
          <w:tr2bl w:val="none" w:sz="0" w:space="0" w:color="auto"/>
        </w:tcBorders>
        <w:shd w:val="clear" w:color="auto" w:fill="auto"/>
      </w:tcPr>
    </w:tblStylePr>
    <w:tblStylePr w:type="firstCol">
      <w:pPr>
        <w:wordWrap/>
        <w:jc w:val="left"/>
      </w:p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l2br w:val="none" w:sz="0" w:space="0" w:color="auto"/>
          <w:tr2bl w:val="none" w:sz="0" w:space="0" w:color="auto"/>
        </w:tcBorders>
        <w:shd w:val="clear" w:color="auto" w:fill="auto"/>
      </w:tcPr>
    </w:tblStylePr>
    <w:tblStylePr w:type="lastCol">
      <w:pPr>
        <w:wordWrap/>
        <w:jc w:val="left"/>
      </w:p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shd w:val="clear" w:color="auto" w:fill="auto"/>
      </w:tcPr>
    </w:tblStylePr>
    <w:tblStylePr w:type="band1Vert">
      <w:pPr>
        <w:wordWrap/>
        <w:jc w:val="left"/>
      </w:p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shd w:val="clear" w:color="auto" w:fill="auto"/>
      </w:tcPr>
    </w:tblStylePr>
    <w:tblStylePr w:type="band2Vert">
      <w:pPr>
        <w:wordWrap/>
        <w:jc w:val="left"/>
      </w:p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shd w:val="clear" w:color="auto" w:fill="auto"/>
      </w:tcPr>
    </w:tblStylePr>
    <w:tblStylePr w:type="band1Horz">
      <w:pPr>
        <w:wordWrap/>
        <w:jc w:val="left"/>
      </w:p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shd w:val="clear" w:color="auto" w:fill="auto"/>
      </w:tcPr>
    </w:tblStylePr>
    <w:tblStylePr w:type="band2Horz">
      <w:pPr>
        <w:wordWrap/>
        <w:jc w:val="left"/>
      </w:p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shd w:val="clear" w:color="auto" w:fill="auto"/>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PageNumber">
    <w:name w:val="page number"/>
    <w:basedOn w:val="DefaultParagraphFont"/>
    <w:uiPriority w:val="99"/>
    <w:semiHidden/>
    <w:rsid w:val="00B51ADD"/>
  </w:style>
  <w:style w:type="character" w:styleId="PlaceholderText">
    <w:name w:val="Placeholder Text"/>
    <w:basedOn w:val="DefaultParagraphFont"/>
    <w:uiPriority w:val="99"/>
    <w:semiHidden/>
    <w:rsid w:val="002C33BF"/>
    <w:rPr>
      <w:color w:val="808080"/>
    </w:rPr>
  </w:style>
  <w:style w:type="table" w:styleId="PlainTable1">
    <w:name w:val="Plain Table 1"/>
    <w:basedOn w:val="TableNormal"/>
    <w:uiPriority w:val="41"/>
    <w:locked/>
    <w:rsid w:val="006143D1"/>
    <w:pPr>
      <w:spacing w:before="200" w:after="0" w:line="240" w:lineRule="auto"/>
    </w:pPr>
    <w:rPr>
      <w:rFonts w:ascii="Franklin Gothic Book" w:eastAsia="Times New Roman" w:hAnsi="Franklin Gothic Book" w:cs="Times New Roman"/>
      <w:lang w:val="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3">
    <w:name w:val="Plain Table 3"/>
    <w:basedOn w:val="TableNormal"/>
    <w:uiPriority w:val="43"/>
    <w:locked/>
    <w:rsid w:val="00904FB6"/>
    <w:pPr>
      <w:spacing w:before="200" w:after="0" w:line="240" w:lineRule="auto"/>
    </w:pPr>
    <w:rPr>
      <w:rFonts w:ascii="Franklin Gothic Book" w:eastAsia="Times New Roman" w:hAnsi="Franklin Gothic Book" w:cs="Times New Roman"/>
      <w:lang w:val="en-US"/>
    </w:rPr>
    <w:tblPr>
      <w:tblStyleRowBandSize w:val="1"/>
      <w:tblStyleColBandSize w:val="1"/>
    </w:tblPr>
    <w:tblStylePr w:type="firstRow">
      <w:rPr>
        <w:b/>
        <w:bCs/>
        <w:caps/>
      </w:rPr>
      <w:tblPr/>
      <w:tcPr>
        <w:tcBorders>
          <w:bottom w:val="single" w:sz="4" w:space="0" w:color="A0A3AD"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A0A3AD"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customStyle="1" w:styleId="QuoteStyle">
    <w:name w:val="Quote Style"/>
    <w:basedOn w:val="Normal"/>
    <w:next w:val="Normal"/>
    <w:uiPriority w:val="5"/>
    <w:rsid w:val="00D075CA"/>
    <w:pPr>
      <w:jc w:val="center"/>
    </w:pPr>
    <w:rPr>
      <w:color w:val="6B9BDE" w:themeColor="accent2" w:themeTint="99"/>
      <w:sz w:val="24"/>
    </w:rPr>
  </w:style>
  <w:style w:type="paragraph" w:styleId="Quote">
    <w:name w:val="Quote"/>
    <w:basedOn w:val="Normal"/>
    <w:next w:val="Normal"/>
    <w:uiPriority w:val="99"/>
    <w:semiHidden/>
    <w:qFormat/>
    <w:rsid w:val="00C970BA"/>
    <w:pPr>
      <w:ind w:left="864" w:right="864"/>
      <w:jc w:val="center"/>
    </w:pPr>
    <w:rPr>
      <w:i/>
      <w:iCs/>
    </w:rPr>
  </w:style>
  <w:style w:type="paragraph" w:styleId="Signature">
    <w:name w:val="Signature"/>
    <w:basedOn w:val="Normal"/>
    <w:uiPriority w:val="99"/>
    <w:semiHidden/>
    <w:rsid w:val="00B51ADD"/>
    <w:pPr>
      <w:spacing w:after="0"/>
      <w:ind w:left="4320"/>
    </w:pPr>
  </w:style>
  <w:style w:type="paragraph" w:styleId="Subtitle">
    <w:name w:val="Subtitle"/>
    <w:aliases w:val="Title 2"/>
    <w:basedOn w:val="Normal"/>
    <w:next w:val="Normal"/>
    <w:link w:val="SubtitleChar"/>
    <w:uiPriority w:val="69"/>
    <w:rsid w:val="00B85543"/>
    <w:pPr>
      <w:ind w:left="446" w:right="6163"/>
    </w:pPr>
    <w:rPr>
      <w:rFonts w:ascii="Rift Soft" w:hAnsi="Rift Soft"/>
      <w:color w:val="265EAC" w:themeColor="accent2"/>
      <w:sz w:val="40"/>
      <w:szCs w:val="44"/>
    </w:rPr>
  </w:style>
  <w:style w:type="paragraph" w:customStyle="1" w:styleId="Title3">
    <w:name w:val="Title 3"/>
    <w:basedOn w:val="Normal"/>
    <w:uiPriority w:val="69"/>
    <w:rsid w:val="00B85543"/>
    <w:pPr>
      <w:spacing w:after="0"/>
      <w:ind w:left="446" w:right="6163"/>
    </w:pPr>
    <w:rPr>
      <w:rFonts w:ascii="Rift Soft" w:hAnsi="Rift Soft"/>
      <w:sz w:val="32"/>
      <w:szCs w:val="28"/>
    </w:rPr>
  </w:style>
  <w:style w:type="character" w:styleId="SubtleEmphasis">
    <w:name w:val="Subtle Emphasis"/>
    <w:aliases w:val="Emphasis (Subtle)"/>
    <w:uiPriority w:val="4"/>
    <w:qFormat/>
    <w:rsid w:val="00E7019E"/>
    <w:rPr>
      <w:rFonts w:asciiTheme="minorHAnsi" w:hAnsiTheme="minorHAnsi"/>
      <w:b/>
      <w:iCs/>
      <w:color w:val="4A4D56" w:themeColor="text1"/>
      <w:sz w:val="22"/>
    </w:rPr>
  </w:style>
  <w:style w:type="paragraph" w:styleId="TOC1">
    <w:name w:val="toc 1"/>
    <w:aliases w:val="TOC Entries"/>
    <w:basedOn w:val="Normal"/>
    <w:next w:val="Normal"/>
    <w:autoRedefine/>
    <w:uiPriority w:val="39"/>
    <w:qFormat/>
    <w:rsid w:val="00946702"/>
    <w:pPr>
      <w:tabs>
        <w:tab w:val="right" w:leader="dot" w:pos="10746"/>
      </w:tabs>
      <w:spacing w:before="120" w:after="120"/>
      <w:ind w:left="360" w:right="-4" w:hanging="360"/>
    </w:pPr>
    <w:rPr>
      <w:noProof/>
    </w:rPr>
  </w:style>
  <w:style w:type="paragraph" w:styleId="TOC2">
    <w:name w:val="toc 2"/>
    <w:aliases w:val="TOC 2 Style"/>
    <w:basedOn w:val="Normal"/>
    <w:next w:val="Normal"/>
    <w:autoRedefine/>
    <w:uiPriority w:val="39"/>
    <w:rsid w:val="00A14F20"/>
    <w:pPr>
      <w:tabs>
        <w:tab w:val="left" w:leader="dot" w:pos="1152"/>
        <w:tab w:val="right" w:leader="dot" w:pos="10746"/>
      </w:tabs>
      <w:spacing w:before="120" w:after="120"/>
      <w:ind w:left="936" w:right="360" w:hanging="504"/>
    </w:pPr>
    <w:rPr>
      <w:noProof/>
    </w:rPr>
  </w:style>
  <w:style w:type="paragraph" w:styleId="TOC3">
    <w:name w:val="toc 3"/>
    <w:basedOn w:val="Normal"/>
    <w:next w:val="Normal"/>
    <w:autoRedefine/>
    <w:uiPriority w:val="39"/>
    <w:rsid w:val="00046703"/>
    <w:pPr>
      <w:tabs>
        <w:tab w:val="right" w:leader="dot" w:pos="9360"/>
      </w:tabs>
      <w:spacing w:before="100"/>
      <w:ind w:left="1584" w:right="333" w:hanging="648"/>
    </w:pPr>
  </w:style>
  <w:style w:type="paragraph" w:styleId="TOC4">
    <w:name w:val="toc 4"/>
    <w:basedOn w:val="Normal"/>
    <w:next w:val="Normal"/>
    <w:autoRedefine/>
    <w:uiPriority w:val="39"/>
    <w:rsid w:val="00721364"/>
    <w:pPr>
      <w:spacing w:after="0"/>
      <w:ind w:left="660"/>
    </w:pPr>
    <w:rPr>
      <w:sz w:val="20"/>
      <w:szCs w:val="20"/>
    </w:rPr>
  </w:style>
  <w:style w:type="paragraph" w:styleId="TOC5">
    <w:name w:val="toc 5"/>
    <w:basedOn w:val="Normal"/>
    <w:next w:val="Normal"/>
    <w:autoRedefine/>
    <w:uiPriority w:val="39"/>
    <w:semiHidden/>
    <w:rsid w:val="00721364"/>
    <w:pPr>
      <w:spacing w:after="0"/>
      <w:ind w:left="880"/>
    </w:pPr>
    <w:rPr>
      <w:sz w:val="20"/>
      <w:szCs w:val="20"/>
    </w:rPr>
  </w:style>
  <w:style w:type="paragraph" w:styleId="TOC6">
    <w:name w:val="toc 6"/>
    <w:basedOn w:val="Normal"/>
    <w:next w:val="Normal"/>
    <w:autoRedefine/>
    <w:uiPriority w:val="39"/>
    <w:semiHidden/>
    <w:rsid w:val="00721364"/>
    <w:pPr>
      <w:spacing w:after="0"/>
      <w:ind w:left="1100"/>
    </w:pPr>
    <w:rPr>
      <w:sz w:val="20"/>
      <w:szCs w:val="20"/>
    </w:rPr>
  </w:style>
  <w:style w:type="paragraph" w:styleId="TOC9">
    <w:name w:val="toc 9"/>
    <w:basedOn w:val="Normal"/>
    <w:next w:val="Normal"/>
    <w:autoRedefine/>
    <w:uiPriority w:val="99"/>
    <w:semiHidden/>
    <w:rsid w:val="00102DB2"/>
    <w:pPr>
      <w:spacing w:after="100"/>
      <w:ind w:left="1760"/>
    </w:pPr>
  </w:style>
  <w:style w:type="paragraph" w:styleId="TOCHeading">
    <w:name w:val="TOC Heading"/>
    <w:basedOn w:val="Normal"/>
    <w:uiPriority w:val="39"/>
    <w:qFormat/>
    <w:rsid w:val="003B615C"/>
    <w:pPr>
      <w:spacing w:line="500" w:lineRule="exact"/>
    </w:pPr>
    <w:rPr>
      <w:rFonts w:ascii="Rift Soft" w:hAnsi="Rift Soft"/>
      <w:color w:val="053572"/>
      <w:sz w:val="48"/>
      <w:szCs w:val="48"/>
    </w:rPr>
  </w:style>
  <w:style w:type="table" w:styleId="Table3Deffects3">
    <w:name w:val="Table 3D effects 3"/>
    <w:basedOn w:val="TableNormal"/>
    <w:locked/>
    <w:rsid w:val="004B54F7"/>
    <w:pPr>
      <w:spacing w:before="200" w:line="240" w:lineRule="auto"/>
      <w:jc w:val="both"/>
    </w:pPr>
    <w:rPr>
      <w:rFonts w:ascii="Franklin Gothic Book" w:eastAsia="Times New Roman" w:hAnsi="Franklin Gothic Book" w:cs="Times New Roman"/>
      <w:lang w:val="en-US"/>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TableBullet">
    <w:name w:val="Table Bullet"/>
    <w:basedOn w:val="Normal"/>
    <w:uiPriority w:val="6"/>
    <w:qFormat/>
    <w:rsid w:val="00800410"/>
    <w:pPr>
      <w:numPr>
        <w:numId w:val="13"/>
      </w:numPr>
      <w:spacing w:after="0"/>
      <w:ind w:left="144" w:hanging="144"/>
    </w:pPr>
    <w:rPr>
      <w:sz w:val="20"/>
      <w:szCs w:val="20"/>
    </w:rPr>
  </w:style>
  <w:style w:type="paragraph" w:customStyle="1" w:styleId="TableCenterText">
    <w:name w:val="Table Center Text"/>
    <w:uiPriority w:val="6"/>
    <w:rsid w:val="00150B28"/>
    <w:pPr>
      <w:spacing w:before="10" w:after="0" w:line="240" w:lineRule="auto"/>
      <w:jc w:val="center"/>
    </w:pPr>
    <w:rPr>
      <w:rFonts w:ascii="Franklin Gothic Book" w:eastAsia="Times New Roman" w:hAnsi="Franklin Gothic Book" w:cs="Times New Roman"/>
      <w:color w:val="4A4D56" w:themeColor="text1"/>
      <w:sz w:val="20"/>
      <w:lang w:val="en-US"/>
    </w:rPr>
  </w:style>
  <w:style w:type="table" w:styleId="TableGrid">
    <w:name w:val="Table Grid"/>
    <w:locked/>
    <w:rsid w:val="002B512D"/>
    <w:pPr>
      <w:spacing w:after="0" w:line="240" w:lineRule="auto"/>
    </w:pPr>
    <w:rPr>
      <w:rFonts w:ascii="Franklin Gothic Book" w:eastAsia="Times New Roman" w:hAnsi="Franklin Gothic Book" w:cs="Times New Roman"/>
      <w:color w:val="FFFFFF"/>
      <w:sz w:val="20"/>
      <w:szCs w:val="20"/>
      <w:lang w:val="en-US" w:eastAsia="en-ZA"/>
    </w:rPr>
    <w:tblPr>
      <w:tblStyleRowBandSize w:val="1"/>
      <w:tblStyleColBandSize w:val="1"/>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9" w:type="dxa"/>
        <w:left w:w="72" w:type="dxa"/>
        <w:bottom w:w="29" w:type="dxa"/>
        <w:right w:w="72" w:type="dxa"/>
      </w:tblCellMar>
    </w:tblPr>
    <w:trPr>
      <w:jc w:val="center"/>
    </w:trPr>
    <w:tcPr>
      <w:shd w:val="clear" w:color="auto" w:fill="auto"/>
      <w:vAlign w:val="center"/>
    </w:tcPr>
    <w:tblStylePr w:type="firstRow">
      <w:pPr>
        <w:wordWrap/>
        <w:spacing w:beforeLines="0" w:before="0" w:beforeAutospacing="0" w:afterLines="0" w:after="0" w:afterAutospacing="0" w:line="240" w:lineRule="auto"/>
        <w:ind w:leftChars="0" w:left="0" w:rightChars="0" w:right="0" w:firstLineChars="0" w:firstLine="0"/>
        <w:contextualSpacing/>
        <w:jc w:val="center"/>
        <w:outlineLvl w:val="9"/>
      </w:pPr>
      <w:tblPr/>
      <w:trPr>
        <w:tblHeader/>
      </w:trPr>
      <w:tcPr>
        <w:tcBorders>
          <w:bottom w:val="single" w:sz="6" w:space="0" w:color="000000"/>
        </w:tcBorders>
        <w:shd w:val="clear" w:color="auto" w:fill="053572" w:themeFill="text2"/>
      </w:tcPr>
    </w:tblStylePr>
    <w:tblStylePr w:type="lastRow">
      <w:pPr>
        <w:jc w:val="left"/>
      </w:pPr>
      <w:rPr>
        <w:rFonts w:asciiTheme="minorHAnsi" w:hAnsiTheme="minorHAnsi"/>
        <w:b/>
        <w:color w:val="auto"/>
        <w:sz w:val="20"/>
      </w:r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l2br w:val="none" w:sz="0" w:space="0" w:color="auto"/>
          <w:tr2bl w:val="none" w:sz="0" w:space="0" w:color="auto"/>
        </w:tcBorders>
        <w:shd w:val="clear" w:color="auto" w:fill="auto"/>
      </w:tcPr>
    </w:tblStylePr>
    <w:tblStylePr w:type="firstCol">
      <w:pPr>
        <w:wordWrap/>
        <w:jc w:val="left"/>
      </w:p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l2br w:val="none" w:sz="0" w:space="0" w:color="auto"/>
          <w:tr2bl w:val="none" w:sz="0" w:space="0" w:color="auto"/>
        </w:tcBorders>
        <w:shd w:val="clear" w:color="auto" w:fill="auto"/>
      </w:tcPr>
    </w:tblStylePr>
    <w:tblStylePr w:type="lastCol">
      <w:pPr>
        <w:wordWrap/>
        <w:jc w:val="left"/>
      </w:p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shd w:val="clear" w:color="auto" w:fill="auto"/>
      </w:tcPr>
    </w:tblStylePr>
    <w:tblStylePr w:type="band1Vert">
      <w:pPr>
        <w:wordWrap/>
        <w:jc w:val="left"/>
      </w:p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shd w:val="clear" w:color="auto" w:fill="auto"/>
      </w:tcPr>
    </w:tblStylePr>
    <w:tblStylePr w:type="band2Vert">
      <w:pPr>
        <w:wordWrap/>
        <w:jc w:val="left"/>
      </w:p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shd w:val="clear" w:color="auto" w:fill="auto"/>
      </w:tcPr>
    </w:tblStylePr>
    <w:tblStylePr w:type="band1Horz">
      <w:pPr>
        <w:wordWrap/>
        <w:jc w:val="left"/>
      </w:p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shd w:val="clear" w:color="auto" w:fill="auto"/>
      </w:tcPr>
    </w:tblStylePr>
    <w:tblStylePr w:type="band2Horz">
      <w:pPr>
        <w:wordWrap/>
        <w:jc w:val="left"/>
      </w:pPr>
      <w:tblPr/>
      <w:tcPr>
        <w:tcBorders>
          <w:top w:val="single" w:sz="4" w:space="0" w:color="4D4D4F"/>
          <w:left w:val="single" w:sz="4" w:space="0" w:color="4D4D4F"/>
          <w:bottom w:val="single" w:sz="4" w:space="0" w:color="4D4D4F"/>
          <w:right w:val="single" w:sz="4" w:space="0" w:color="4D4D4F"/>
          <w:insideH w:val="single" w:sz="4" w:space="0" w:color="4D4D4F"/>
          <w:insideV w:val="single" w:sz="4" w:space="0" w:color="4D4D4F"/>
        </w:tcBorders>
        <w:shd w:val="clear" w:color="auto" w:fill="auto"/>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TableLeftText">
    <w:name w:val="Table Left Text"/>
    <w:uiPriority w:val="6"/>
    <w:qFormat/>
    <w:rsid w:val="00150B28"/>
    <w:pPr>
      <w:spacing w:before="10" w:after="0" w:line="240" w:lineRule="auto"/>
    </w:pPr>
    <w:rPr>
      <w:rFonts w:ascii="Franklin Gothic Book" w:eastAsia="Times New Roman" w:hAnsi="Franklin Gothic Book" w:cs="Times New Roman"/>
      <w:color w:val="4A4D56" w:themeColor="text1"/>
      <w:sz w:val="20"/>
      <w:lang w:val="en-US"/>
    </w:rPr>
  </w:style>
  <w:style w:type="paragraph" w:customStyle="1" w:styleId="TableRightText">
    <w:name w:val="Table Right Text"/>
    <w:basedOn w:val="Normal"/>
    <w:uiPriority w:val="6"/>
    <w:rsid w:val="00150B28"/>
    <w:pPr>
      <w:spacing w:before="10" w:after="0"/>
      <w:jc w:val="right"/>
    </w:pPr>
    <w:rPr>
      <w:sz w:val="20"/>
    </w:rPr>
  </w:style>
  <w:style w:type="paragraph" w:customStyle="1" w:styleId="TableHeadingCentered">
    <w:name w:val="Table Heading (Centered)"/>
    <w:uiPriority w:val="6"/>
    <w:qFormat/>
    <w:rsid w:val="00150B28"/>
    <w:pPr>
      <w:spacing w:before="10" w:after="0" w:line="240" w:lineRule="auto"/>
      <w:jc w:val="center"/>
    </w:pPr>
    <w:rPr>
      <w:rFonts w:ascii="Franklin Gothic Medium" w:eastAsia="Times New Roman" w:hAnsi="Franklin Gothic Medium" w:cs="Times New Roman"/>
      <w:color w:val="FFFFFF" w:themeColor="background1"/>
      <w:sz w:val="20"/>
      <w:szCs w:val="20"/>
      <w:lang w:val="en-US"/>
    </w:rPr>
  </w:style>
  <w:style w:type="paragraph" w:customStyle="1" w:styleId="TableWhiteTextBook">
    <w:name w:val="Table White Text (Book)"/>
    <w:uiPriority w:val="6"/>
    <w:rsid w:val="00150B28"/>
    <w:pPr>
      <w:spacing w:before="10" w:after="0" w:line="240" w:lineRule="auto"/>
    </w:pPr>
    <w:rPr>
      <w:rFonts w:ascii="Franklin Gothic Book" w:eastAsia="Times New Roman" w:hAnsi="Franklin Gothic Book" w:cs="Times New Roman"/>
      <w:color w:val="FFFFFF"/>
      <w:sz w:val="20"/>
      <w:szCs w:val="20"/>
      <w:lang w:val="en-US"/>
    </w:rPr>
  </w:style>
  <w:style w:type="paragraph" w:styleId="TableofFigures">
    <w:name w:val="table of figures"/>
    <w:basedOn w:val="Normal"/>
    <w:next w:val="Normal"/>
    <w:uiPriority w:val="99"/>
    <w:rsid w:val="00173A1F"/>
    <w:pPr>
      <w:tabs>
        <w:tab w:val="right" w:leader="dot" w:pos="10070"/>
      </w:tabs>
      <w:spacing w:before="120" w:after="120"/>
      <w:ind w:right="360"/>
    </w:pPr>
  </w:style>
  <w:style w:type="paragraph" w:customStyle="1" w:styleId="TableFootnote">
    <w:name w:val="Table_Footnote"/>
    <w:uiPriority w:val="6"/>
    <w:qFormat/>
    <w:rsid w:val="007C5AA1"/>
    <w:pPr>
      <w:spacing w:before="40" w:after="60" w:line="240" w:lineRule="auto"/>
      <w:jc w:val="both"/>
    </w:pPr>
    <w:rPr>
      <w:rFonts w:ascii="Franklin Gothic Book" w:eastAsia="Times New Roman" w:hAnsi="Franklin Gothic Book" w:cs="Times New Roman"/>
      <w:color w:val="4A4D56" w:themeColor="text1"/>
      <w:sz w:val="18"/>
      <w:szCs w:val="19"/>
      <w:lang w:val="en-US"/>
    </w:rPr>
  </w:style>
  <w:style w:type="paragraph" w:styleId="Title">
    <w:name w:val="Title"/>
    <w:aliases w:val="Memo Title"/>
    <w:basedOn w:val="Normal"/>
    <w:next w:val="Normal"/>
    <w:link w:val="TitleChar"/>
    <w:uiPriority w:val="10"/>
    <w:qFormat/>
    <w:rsid w:val="00B65B28"/>
    <w:pPr>
      <w:spacing w:after="0" w:line="800" w:lineRule="exact"/>
      <w:ind w:left="435" w:right="4290"/>
    </w:pPr>
    <w:rPr>
      <w:rFonts w:ascii="Rift Soft Medium" w:hAnsi="Rift Soft Medium"/>
      <w:color w:val="053572"/>
      <w:sz w:val="56"/>
      <w:szCs w:val="72"/>
      <w:lang w:val="en-ZA"/>
    </w:rPr>
  </w:style>
  <w:style w:type="character" w:styleId="UnresolvedMention">
    <w:name w:val="Unresolved Mention"/>
    <w:basedOn w:val="DefaultParagraphFont"/>
    <w:uiPriority w:val="99"/>
    <w:semiHidden/>
    <w:unhideWhenUsed/>
    <w:rsid w:val="00E71369"/>
    <w:rPr>
      <w:color w:val="605E5C"/>
      <w:shd w:val="clear" w:color="auto" w:fill="E1DFDD"/>
    </w:rPr>
  </w:style>
  <w:style w:type="table" w:customStyle="1" w:styleId="ODExcelPlaceholder">
    <w:name w:val="_OD Excel Placeholder"/>
    <w:basedOn w:val="TableNormal"/>
    <w:uiPriority w:val="99"/>
    <w:rsid w:val="00865C6A"/>
    <w:pPr>
      <w:spacing w:after="0"/>
    </w:pPr>
    <w:rPr>
      <w:sz w:val="18"/>
    </w:rPr>
    <w:tblPr>
      <w:tblCellMar>
        <w:left w:w="0" w:type="dxa"/>
        <w:right w:w="0" w:type="dxa"/>
      </w:tblCellMar>
    </w:tblPr>
    <w:tblStylePr w:type="firstRow">
      <w:pPr>
        <w:wordWrap/>
        <w:spacing w:beforeLines="0" w:before="0" w:beforeAutospacing="0" w:afterLines="0" w:after="0" w:afterAutospacing="0" w:line="240" w:lineRule="auto"/>
        <w:ind w:leftChars="0" w:left="0" w:rightChars="0" w:right="0"/>
        <w:jc w:val="center"/>
        <w:outlineLvl w:val="9"/>
      </w:pPr>
      <w:rPr>
        <w:rFonts w:asciiTheme="minorHAnsi" w:hAnsiTheme="minorHAnsi"/>
        <w:sz w:val="18"/>
      </w:rPr>
    </w:tblStylePr>
  </w:style>
  <w:style w:type="paragraph" w:customStyle="1" w:styleId="zSRnote">
    <w:name w:val="zSR note"/>
    <w:basedOn w:val="Normal"/>
    <w:uiPriority w:val="99"/>
    <w:semiHidden/>
    <w:locked/>
    <w:rsid w:val="000C2EF9"/>
    <w:pPr>
      <w:spacing w:after="0"/>
    </w:pPr>
    <w:rPr>
      <w:color w:val="C00000"/>
    </w:rPr>
  </w:style>
  <w:style w:type="character" w:customStyle="1" w:styleId="BodyTextChar">
    <w:name w:val="Body Text Char"/>
    <w:basedOn w:val="DefaultParagraphFont"/>
    <w:link w:val="BodyText"/>
    <w:uiPriority w:val="69"/>
    <w:semiHidden/>
    <w:rsid w:val="00E7019E"/>
    <w:rPr>
      <w:rFonts w:ascii="Franklin Gothic Book" w:eastAsia="Times New Roman" w:hAnsi="Franklin Gothic Book" w:cs="Times New Roman"/>
      <w:color w:val="4A4D56" w:themeColor="text1"/>
      <w:lang w:val="en-US"/>
    </w:rPr>
  </w:style>
  <w:style w:type="paragraph" w:styleId="IntenseQuote">
    <w:name w:val="Intense Quote"/>
    <w:basedOn w:val="Normal"/>
    <w:next w:val="Normal"/>
    <w:link w:val="IntenseQuoteChar"/>
    <w:uiPriority w:val="30"/>
    <w:qFormat/>
    <w:rsid w:val="00D075CA"/>
    <w:pPr>
      <w:pBdr>
        <w:top w:val="single" w:sz="4" w:space="10" w:color="172B54"/>
        <w:bottom w:val="single" w:sz="4" w:space="10" w:color="172B54"/>
      </w:pBdr>
      <w:spacing w:before="360" w:after="360" w:line="240" w:lineRule="auto"/>
      <w:ind w:left="864" w:right="864"/>
      <w:jc w:val="center"/>
    </w:pPr>
    <w:rPr>
      <w:rFonts w:eastAsia="Franklin Gothic Book"/>
      <w:i/>
      <w:iCs/>
      <w:color w:val="809EDC" w:themeColor="accent1" w:themeTint="66"/>
      <w:sz w:val="24"/>
    </w:rPr>
  </w:style>
  <w:style w:type="character" w:customStyle="1" w:styleId="IntenseQuoteChar">
    <w:name w:val="Intense Quote Char"/>
    <w:basedOn w:val="DefaultParagraphFont"/>
    <w:link w:val="IntenseQuote"/>
    <w:uiPriority w:val="30"/>
    <w:rsid w:val="00D075CA"/>
    <w:rPr>
      <w:rFonts w:ascii="Franklin Gothic Book" w:eastAsia="Franklin Gothic Book" w:hAnsi="Franklin Gothic Book" w:cs="Times New Roman"/>
      <w:i/>
      <w:iCs/>
      <w:color w:val="809EDC" w:themeColor="accent1" w:themeTint="66"/>
      <w:sz w:val="24"/>
      <w:lang w:val="en-US"/>
    </w:rPr>
  </w:style>
  <w:style w:type="character" w:customStyle="1" w:styleId="TitleChar">
    <w:name w:val="Title Char"/>
    <w:aliases w:val="Memo Title Char"/>
    <w:basedOn w:val="DefaultParagraphFont"/>
    <w:link w:val="Title"/>
    <w:uiPriority w:val="10"/>
    <w:rsid w:val="00D4245B"/>
    <w:rPr>
      <w:rFonts w:ascii="Rift Soft Medium" w:eastAsia="Times New Roman" w:hAnsi="Rift Soft Medium" w:cs="Times New Roman"/>
      <w:color w:val="053572"/>
      <w:sz w:val="56"/>
      <w:szCs w:val="72"/>
    </w:rPr>
  </w:style>
  <w:style w:type="paragraph" w:customStyle="1" w:styleId="SectionName">
    <w:name w:val="Section Name"/>
    <w:link w:val="SectionNameChar"/>
    <w:unhideWhenUsed/>
    <w:qFormat/>
    <w:rsid w:val="00994030"/>
    <w:pPr>
      <w:spacing w:before="300" w:after="300"/>
      <w:ind w:left="435" w:right="2610"/>
    </w:pPr>
    <w:rPr>
      <w:rFonts w:ascii="Rift Soft Medium" w:eastAsia="Times New Roman" w:hAnsi="Rift Soft Medium" w:cs="Times New Roman"/>
      <w:iCs/>
      <w:noProof/>
      <w:color w:val="172B54" w:themeColor="accent1"/>
      <w:sz w:val="72"/>
      <w:szCs w:val="72"/>
    </w:rPr>
  </w:style>
  <w:style w:type="character" w:customStyle="1" w:styleId="SectionNameChar">
    <w:name w:val="Section Name Char"/>
    <w:basedOn w:val="DefaultParagraphFont"/>
    <w:link w:val="SectionName"/>
    <w:rsid w:val="006306B7"/>
    <w:rPr>
      <w:rFonts w:ascii="Rift Soft Medium" w:eastAsia="Times New Roman" w:hAnsi="Rift Soft Medium" w:cs="Times New Roman"/>
      <w:iCs/>
      <w:noProof/>
      <w:color w:val="172B54" w:themeColor="accent1"/>
      <w:sz w:val="72"/>
      <w:szCs w:val="72"/>
    </w:rPr>
  </w:style>
  <w:style w:type="paragraph" w:styleId="Header">
    <w:name w:val="header"/>
    <w:basedOn w:val="Normal"/>
    <w:link w:val="HeaderChar"/>
    <w:uiPriority w:val="99"/>
    <w:semiHidden/>
    <w:rsid w:val="00196D76"/>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E7019E"/>
    <w:rPr>
      <w:rFonts w:ascii="Franklin Gothic Book" w:eastAsia="Times New Roman" w:hAnsi="Franklin Gothic Book" w:cs="Times New Roman"/>
      <w:color w:val="4A4D56" w:themeColor="text1"/>
      <w:lang w:val="en-US"/>
    </w:rPr>
  </w:style>
  <w:style w:type="paragraph" w:customStyle="1" w:styleId="SectionSubtitle">
    <w:name w:val="Section Subtitle"/>
    <w:basedOn w:val="SectionName"/>
    <w:link w:val="SectionSubtitleChar"/>
    <w:unhideWhenUsed/>
    <w:qFormat/>
    <w:rsid w:val="00A5705E"/>
    <w:rPr>
      <w:rFonts w:ascii="Rift Soft" w:hAnsi="Rift Soft"/>
      <w:color w:val="1FA9E1" w:themeColor="accent3"/>
      <w:sz w:val="40"/>
      <w:szCs w:val="40"/>
      <w:lang w:val="en-US"/>
    </w:rPr>
  </w:style>
  <w:style w:type="character" w:customStyle="1" w:styleId="SectionSubtitleChar">
    <w:name w:val="Section Subtitle Char"/>
    <w:basedOn w:val="DefaultParagraphFont"/>
    <w:link w:val="SectionSubtitle"/>
    <w:rsid w:val="006306B7"/>
    <w:rPr>
      <w:rFonts w:ascii="Rift Soft" w:eastAsia="Times New Roman" w:hAnsi="Rift Soft" w:cs="Times New Roman"/>
      <w:iCs/>
      <w:noProof/>
      <w:color w:val="1FA9E1" w:themeColor="accent3"/>
      <w:sz w:val="40"/>
      <w:szCs w:val="40"/>
      <w:lang w:val="en-US"/>
    </w:rPr>
  </w:style>
  <w:style w:type="character" w:customStyle="1" w:styleId="NoSpacingChar">
    <w:name w:val="No Spacing Char"/>
    <w:basedOn w:val="DefaultParagraphFont"/>
    <w:link w:val="NoSpacing"/>
    <w:uiPriority w:val="1"/>
    <w:rsid w:val="001F322C"/>
    <w:rPr>
      <w:rFonts w:ascii="Franklin Gothic Book" w:eastAsia="Times New Roman" w:hAnsi="Franklin Gothic Book" w:cs="Times New Roman"/>
      <w:color w:val="4A4D56" w:themeColor="text1"/>
      <w:lang w:val="en-US"/>
    </w:rPr>
  </w:style>
  <w:style w:type="table" w:customStyle="1" w:styleId="ODTable1">
    <w:name w:val="OD Table 1"/>
    <w:basedOn w:val="TableNormal"/>
    <w:uiPriority w:val="99"/>
    <w:rsid w:val="008F0909"/>
    <w:pPr>
      <w:spacing w:after="0" w:line="240" w:lineRule="auto"/>
    </w:pPr>
    <w:tblPr/>
  </w:style>
  <w:style w:type="numbering" w:customStyle="1" w:styleId="ODXAPPENDIX">
    <w:name w:val="ODX APPENDIX"/>
    <w:uiPriority w:val="99"/>
    <w:rsid w:val="008B2F0D"/>
    <w:pPr>
      <w:numPr>
        <w:numId w:val="15"/>
      </w:numPr>
    </w:pPr>
  </w:style>
  <w:style w:type="character" w:styleId="SmartLink">
    <w:name w:val="Smart Link"/>
    <w:basedOn w:val="DefaultParagraphFont"/>
    <w:uiPriority w:val="99"/>
    <w:semiHidden/>
    <w:unhideWhenUsed/>
    <w:rsid w:val="000C2EF9"/>
    <w:rPr>
      <w:rFonts w:asciiTheme="minorHAnsi" w:hAnsiTheme="minorHAnsi"/>
      <w:color w:val="1FA9E1" w:themeColor="accent3"/>
      <w:sz w:val="22"/>
      <w:u w:val="single"/>
      <w:shd w:val="clear" w:color="auto" w:fill="F3F2F1"/>
    </w:rPr>
  </w:style>
  <w:style w:type="paragraph" w:customStyle="1" w:styleId="TableHeadingLeft">
    <w:name w:val="Table Heading (Left)"/>
    <w:basedOn w:val="TableHeadingCentered"/>
    <w:qFormat/>
    <w:rsid w:val="007C5AA1"/>
    <w:pPr>
      <w:jc w:val="left"/>
    </w:pPr>
  </w:style>
  <w:style w:type="paragraph" w:customStyle="1" w:styleId="Source">
    <w:name w:val="Source"/>
    <w:basedOn w:val="Caption"/>
    <w:next w:val="Normal"/>
    <w:link w:val="SourceChar"/>
    <w:qFormat/>
    <w:rsid w:val="00D546DC"/>
    <w:pPr>
      <w:spacing w:before="40" w:after="60" w:line="240" w:lineRule="auto"/>
      <w:jc w:val="left"/>
    </w:pPr>
    <w:rPr>
      <w:sz w:val="18"/>
    </w:rPr>
  </w:style>
  <w:style w:type="character" w:customStyle="1" w:styleId="CaptionChar">
    <w:name w:val="Caption Char"/>
    <w:basedOn w:val="DefaultParagraphFont"/>
    <w:link w:val="Caption"/>
    <w:uiPriority w:val="35"/>
    <w:rsid w:val="00813BC9"/>
    <w:rPr>
      <w:rFonts w:ascii="Franklin Gothic Book" w:eastAsia="Times New Roman" w:hAnsi="Franklin Gothic Book" w:cs="Times New Roman"/>
      <w:bCs/>
      <w:color w:val="4A4D56" w:themeColor="text1"/>
      <w:szCs w:val="20"/>
      <w:lang w:val="en-US"/>
    </w:rPr>
  </w:style>
  <w:style w:type="character" w:customStyle="1" w:styleId="SourceChar">
    <w:name w:val="Source Char"/>
    <w:basedOn w:val="CaptionChar"/>
    <w:link w:val="Source"/>
    <w:rsid w:val="00D546DC"/>
    <w:rPr>
      <w:rFonts w:ascii="Franklin Gothic Book" w:eastAsia="Times New Roman" w:hAnsi="Franklin Gothic Book" w:cs="Times New Roman"/>
      <w:bCs/>
      <w:color w:val="4A4D56" w:themeColor="text1"/>
      <w:sz w:val="18"/>
      <w:szCs w:val="20"/>
      <w:lang w:val="en-US"/>
    </w:rPr>
  </w:style>
  <w:style w:type="paragraph" w:customStyle="1" w:styleId="AppendicesEntries">
    <w:name w:val="Appendices Entries"/>
    <w:basedOn w:val="TOC1"/>
    <w:semiHidden/>
    <w:rsid w:val="003C4811"/>
    <w:rPr>
      <w:szCs w:val="20"/>
    </w:rPr>
  </w:style>
  <w:style w:type="paragraph" w:customStyle="1" w:styleId="TableTextLeftMedium">
    <w:name w:val="Table Text Left (Medium)"/>
    <w:basedOn w:val="TableHeadingLeft"/>
    <w:qFormat/>
    <w:rsid w:val="00150B28"/>
    <w:rPr>
      <w:color w:val="4A4D56" w:themeColor="text1"/>
      <w:szCs w:val="22"/>
    </w:rPr>
  </w:style>
  <w:style w:type="numbering" w:customStyle="1" w:styleId="Addendum">
    <w:name w:val="Addendum"/>
    <w:basedOn w:val="NoList"/>
    <w:uiPriority w:val="99"/>
    <w:rsid w:val="00143669"/>
    <w:pPr>
      <w:numPr>
        <w:numId w:val="18"/>
      </w:numPr>
    </w:pPr>
  </w:style>
  <w:style w:type="character" w:customStyle="1" w:styleId="SubtitleChar">
    <w:name w:val="Subtitle Char"/>
    <w:aliases w:val="Title 2 Char"/>
    <w:basedOn w:val="DefaultParagraphFont"/>
    <w:link w:val="Subtitle"/>
    <w:uiPriority w:val="69"/>
    <w:rsid w:val="00344C23"/>
    <w:rPr>
      <w:rFonts w:ascii="Rift Soft" w:eastAsia="Times New Roman" w:hAnsi="Rift Soft" w:cs="Times New Roman"/>
      <w:color w:val="265EAC" w:themeColor="accent2"/>
      <w:sz w:val="40"/>
      <w:szCs w:val="44"/>
      <w:lang w:val="en-US"/>
    </w:rPr>
  </w:style>
  <w:style w:type="paragraph" w:customStyle="1" w:styleId="ResumeStyle2">
    <w:name w:val="Resume Style 2"/>
    <w:basedOn w:val="Normal"/>
    <w:qFormat/>
    <w:rsid w:val="00E7019E"/>
    <w:rPr>
      <w:color w:val="053572" w:themeColor="text2"/>
      <w:sz w:val="24"/>
    </w:rPr>
  </w:style>
  <w:style w:type="paragraph" w:customStyle="1" w:styleId="ResumeText">
    <w:name w:val="Resume Text"/>
    <w:basedOn w:val="Normal"/>
    <w:qFormat/>
    <w:rsid w:val="00D4245B"/>
    <w:pPr>
      <w:spacing w:before="200" w:after="200" w:line="240" w:lineRule="auto"/>
    </w:pPr>
  </w:style>
  <w:style w:type="paragraph" w:customStyle="1" w:styleId="ResumeHeading1">
    <w:name w:val="Resume Heading 1"/>
    <w:basedOn w:val="ResumeText"/>
    <w:semiHidden/>
    <w:qFormat/>
    <w:rsid w:val="00D4245B"/>
    <w:pPr>
      <w:spacing w:before="120" w:after="0"/>
    </w:pPr>
    <w:rPr>
      <w:rFonts w:ascii="Rift Soft Medium" w:hAnsi="Rift Soft Medium"/>
      <w:color w:val="053572" w:themeColor="text2"/>
      <w:sz w:val="56"/>
    </w:rPr>
  </w:style>
  <w:style w:type="paragraph" w:customStyle="1" w:styleId="ResumeHeading2">
    <w:name w:val="Resume Heading 2"/>
    <w:basedOn w:val="ResumeHeading1"/>
    <w:qFormat/>
    <w:rsid w:val="00D4245B"/>
    <w:pPr>
      <w:spacing w:before="40" w:after="100"/>
    </w:pPr>
    <w:rPr>
      <w:rFonts w:ascii="Franklin Gothic Medium" w:hAnsi="Franklin Gothic Medium"/>
      <w:color w:val="1FA9E1" w:themeColor="accent3"/>
      <w:sz w:val="28"/>
    </w:rPr>
  </w:style>
  <w:style w:type="paragraph" w:customStyle="1" w:styleId="Alpha">
    <w:name w:val="Alpha"/>
    <w:basedOn w:val="Heading1"/>
    <w:qFormat/>
    <w:rsid w:val="00E37377"/>
    <w:pPr>
      <w:numPr>
        <w:numId w:val="20"/>
      </w:numPr>
      <w:spacing w:line="440" w:lineRule="exact"/>
    </w:pPr>
  </w:style>
  <w:style w:type="paragraph" w:customStyle="1" w:styleId="AppendixBeta">
    <w:name w:val="Appendix Beta"/>
    <w:basedOn w:val="Heading2"/>
    <w:qFormat/>
    <w:rsid w:val="009E5DB3"/>
    <w:pPr>
      <w:numPr>
        <w:ilvl w:val="0"/>
        <w:numId w:val="0"/>
      </w:numPr>
    </w:pPr>
  </w:style>
  <w:style w:type="paragraph" w:customStyle="1" w:styleId="AppendixGamma">
    <w:name w:val="Appendix Gamma"/>
    <w:basedOn w:val="Heading3"/>
    <w:qFormat/>
    <w:rsid w:val="009E5DB3"/>
    <w:pPr>
      <w:numPr>
        <w:ilvl w:val="0"/>
        <w:numId w:val="0"/>
      </w:numPr>
    </w:pPr>
  </w:style>
  <w:style w:type="paragraph" w:customStyle="1" w:styleId="Tablecontents">
    <w:name w:val="Table contents"/>
    <w:basedOn w:val="Normal"/>
    <w:rsid w:val="004A582B"/>
    <w:pPr>
      <w:spacing w:after="0" w:line="240" w:lineRule="auto"/>
      <w:jc w:val="center"/>
    </w:pPr>
    <w:rPr>
      <w:rFonts w:ascii="Franklin Gothic Medium" w:hAnsi="Franklin Gothic Medium"/>
      <w:sz w:val="18"/>
      <w:szCs w:val="20"/>
    </w:rPr>
  </w:style>
  <w:style w:type="paragraph" w:customStyle="1" w:styleId="SectionSubTitle0">
    <w:name w:val="Section Sub Title"/>
    <w:basedOn w:val="SectionName"/>
    <w:link w:val="SectionSubTitleChar0"/>
    <w:qFormat/>
    <w:rsid w:val="004A582B"/>
    <w:rPr>
      <w:rFonts w:ascii="Rift Soft" w:hAnsi="Rift Soft"/>
      <w:color w:val="1FA9E1" w:themeColor="accent3"/>
      <w:sz w:val="40"/>
      <w:szCs w:val="40"/>
      <w:lang w:val="en-US"/>
    </w:rPr>
  </w:style>
  <w:style w:type="character" w:customStyle="1" w:styleId="SectionSubTitleChar0">
    <w:name w:val="Section Sub Title Char"/>
    <w:basedOn w:val="DefaultParagraphFont"/>
    <w:link w:val="SectionSubTitle0"/>
    <w:rsid w:val="004A582B"/>
    <w:rPr>
      <w:rFonts w:ascii="Rift Soft" w:eastAsia="Times New Roman" w:hAnsi="Rift Soft" w:cs="Times New Roman"/>
      <w:iCs/>
      <w:noProof/>
      <w:color w:val="1FA9E1" w:themeColor="accent3"/>
      <w:sz w:val="40"/>
      <w:szCs w:val="40"/>
      <w:lang w:val="en-US"/>
    </w:rPr>
  </w:style>
  <w:style w:type="paragraph" w:customStyle="1" w:styleId="ResumeHeading">
    <w:name w:val="Resume Heading"/>
    <w:basedOn w:val="Normal"/>
    <w:qFormat/>
    <w:rsid w:val="004A582B"/>
    <w:pPr>
      <w:spacing w:before="120" w:after="0" w:line="240" w:lineRule="auto"/>
    </w:pPr>
    <w:rPr>
      <w:rFonts w:ascii="Rift Soft Medium" w:hAnsi="Rift Soft Medium"/>
      <w:color w:val="053572" w:themeColor="text2"/>
      <w:sz w:val="56"/>
    </w:rPr>
  </w:style>
  <w:style w:type="paragraph" w:customStyle="1" w:styleId="Title1">
    <w:name w:val="Title 1"/>
    <w:basedOn w:val="Normal"/>
    <w:qFormat/>
    <w:rsid w:val="004A582B"/>
    <w:pPr>
      <w:spacing w:after="0" w:line="800" w:lineRule="exact"/>
      <w:ind w:left="446" w:right="6163"/>
    </w:pPr>
    <w:rPr>
      <w:rFonts w:ascii="Rift Soft Medium" w:hAnsi="Rift Soft Medium"/>
      <w:color w:val="053572" w:themeColor="text2"/>
      <w:sz w:val="56"/>
    </w:rPr>
  </w:style>
  <w:style w:type="character" w:styleId="EndnoteReference">
    <w:name w:val="endnote reference"/>
    <w:basedOn w:val="DefaultParagraphFont"/>
    <w:uiPriority w:val="99"/>
    <w:unhideWhenUsed/>
    <w:rsid w:val="004D318B"/>
    <w:rPr>
      <w:vertAlign w:val="superscript"/>
    </w:rPr>
  </w:style>
  <w:style w:type="character" w:styleId="CommentReference">
    <w:name w:val="annotation reference"/>
    <w:basedOn w:val="DefaultParagraphFont"/>
    <w:uiPriority w:val="99"/>
    <w:semiHidden/>
    <w:unhideWhenUsed/>
    <w:rsid w:val="004A582B"/>
    <w:rPr>
      <w:sz w:val="16"/>
      <w:szCs w:val="16"/>
    </w:rPr>
  </w:style>
  <w:style w:type="character" w:customStyle="1" w:styleId="EndnoteTextChar">
    <w:name w:val="Endnote Text Char"/>
    <w:basedOn w:val="DefaultParagraphFont"/>
    <w:link w:val="EndnoteText"/>
    <w:uiPriority w:val="69"/>
    <w:rsid w:val="00F74FD1"/>
    <w:rPr>
      <w:rFonts w:ascii="Franklin Gothic Book" w:eastAsia="Times New Roman" w:hAnsi="Franklin Gothic Book" w:cs="Times New Roman"/>
      <w:color w:val="4A4D56" w:themeColor="text1"/>
      <w:sz w:val="18"/>
      <w:szCs w:val="20"/>
      <w:lang w:val="en-US"/>
    </w:rPr>
  </w:style>
  <w:style w:type="character" w:customStyle="1" w:styleId="Heading4Char">
    <w:name w:val="Heading 4 Char"/>
    <w:basedOn w:val="DefaultParagraphFont"/>
    <w:link w:val="Heading4"/>
    <w:uiPriority w:val="9"/>
    <w:rsid w:val="00644CA8"/>
    <w:rPr>
      <w:rFonts w:ascii="Rift Soft Medium" w:eastAsia="Times New Roman" w:hAnsi="Rift Soft Medium" w:cs="Arial"/>
      <w:bCs/>
      <w:color w:val="053572" w:themeColor="text2"/>
      <w:sz w:val="32"/>
      <w:szCs w:val="24"/>
      <w:lang w:val="en-US"/>
    </w:rPr>
  </w:style>
  <w:style w:type="paragraph" w:styleId="Revision">
    <w:name w:val="Revision"/>
    <w:hidden/>
    <w:uiPriority w:val="99"/>
    <w:semiHidden/>
    <w:rsid w:val="00644CA8"/>
    <w:pPr>
      <w:spacing w:after="0" w:line="240" w:lineRule="auto"/>
    </w:pPr>
    <w:rPr>
      <w:rFonts w:ascii="Franklin Gothic Book" w:eastAsia="Times New Roman" w:hAnsi="Franklin Gothic Book" w:cs="Times New Roman"/>
      <w:color w:val="4A4D56" w:themeColor="text1"/>
      <w:lang w:val="en-US"/>
    </w:rPr>
  </w:style>
  <w:style w:type="paragraph" w:customStyle="1" w:styleId="ODTable">
    <w:name w:val="OD Table"/>
    <w:link w:val="ODTableChar"/>
    <w:qFormat/>
    <w:rsid w:val="00056CCF"/>
    <w:pPr>
      <w:spacing w:after="0" w:line="240" w:lineRule="auto"/>
    </w:pPr>
    <w:rPr>
      <w:rFonts w:ascii="Franklin Gothic Book" w:eastAsia="Times New Roman" w:hAnsi="Franklin Gothic Book" w:cs="Times New Roman"/>
      <w:color w:val="4A4D56" w:themeColor="text1"/>
      <w:sz w:val="20"/>
      <w:szCs w:val="20"/>
      <w:lang w:val="en-US"/>
    </w:rPr>
  </w:style>
  <w:style w:type="character" w:customStyle="1" w:styleId="ODTableChar">
    <w:name w:val="OD Table Char"/>
    <w:basedOn w:val="DefaultParagraphFont"/>
    <w:link w:val="ODTable"/>
    <w:rsid w:val="00056CCF"/>
    <w:rPr>
      <w:rFonts w:ascii="Franklin Gothic Book" w:eastAsia="Times New Roman" w:hAnsi="Franklin Gothic Book" w:cs="Times New Roman"/>
      <w:color w:val="4A4D56" w:themeColor="text1"/>
      <w:sz w:val="20"/>
      <w:szCs w:val="20"/>
      <w:lang w:val="en-US"/>
    </w:rPr>
  </w:style>
  <w:style w:type="character" w:customStyle="1" w:styleId="CommentTextChar">
    <w:name w:val="Comment Text Char"/>
    <w:basedOn w:val="DefaultParagraphFont"/>
    <w:link w:val="CommentText"/>
    <w:uiPriority w:val="99"/>
    <w:semiHidden/>
    <w:rsid w:val="00056CCF"/>
    <w:rPr>
      <w:rFonts w:ascii="Franklin Gothic Book" w:eastAsia="Times New Roman" w:hAnsi="Franklin Gothic Book" w:cs="Times New Roman"/>
      <w:color w:val="4A4D56" w:themeColor="text1"/>
      <w:sz w:val="20"/>
      <w:szCs w:val="20"/>
      <w:lang w:val="en-US"/>
    </w:rPr>
  </w:style>
  <w:style w:type="character" w:customStyle="1" w:styleId="FootnoteTextChar">
    <w:name w:val="Footnote Text Char"/>
    <w:basedOn w:val="DefaultParagraphFont"/>
    <w:link w:val="FootnoteText"/>
    <w:uiPriority w:val="69"/>
    <w:rsid w:val="00056CCF"/>
    <w:rPr>
      <w:rFonts w:ascii="Franklin Gothic Book" w:eastAsia="Times New Roman" w:hAnsi="Franklin Gothic Book" w:cs="Times New Roman"/>
      <w:color w:val="4A4D56" w:themeColor="text1"/>
      <w:sz w:val="18"/>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microsoft.com/office/2016/09/relationships/commentsIds" Target="commentsIds.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1.xml"/><Relationship Id="rId17" Type="http://schemas.microsoft.com/office/2011/relationships/commentsExtended" Target="commentsExtended.xml"/><Relationship Id="rId2" Type="http://schemas.openxmlformats.org/officeDocument/2006/relationships/customXml" Target="../customXml/item2.xml"/><Relationship Id="rId16" Type="http://schemas.openxmlformats.org/officeDocument/2006/relationships/comments" Target="comments.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microsoft.com/office/2018/08/relationships/commentsExtensible" Target="commentsExtensi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microsoft.com/office/2011/relationships/people" Target="people.xml"/></Relationships>
</file>

<file path=word/_rels/footnotes.xml.rels><?xml version="1.0" encoding="UTF-8" standalone="yes"?>
<Relationships xmlns="http://schemas.openxmlformats.org/package/2006/relationships"><Relationship Id="rId8" Type="http://schemas.openxmlformats.org/officeDocument/2006/relationships/hyperlink" Target="https://files.worldwildlife.org/wwfcmsprod/misc/climate_forest/Biogenic_Carbon_Footprint_Calculator_2020.xlsx" TargetMode="External"/><Relationship Id="rId3" Type="http://schemas.openxmlformats.org/officeDocument/2006/relationships/hyperlink" Target="https://greet.anl.gov/" TargetMode="External"/><Relationship Id="rId7" Type="http://schemas.openxmlformats.org/officeDocument/2006/relationships/hyperlink" Target="https://greet.anl.gov/" TargetMode="External"/><Relationship Id="rId12" Type="http://schemas.openxmlformats.org/officeDocument/2006/relationships/hyperlink" Target="https://files.worldwildlife.org/wwfcmsprod/misc/climate_forest/Biogenic_Carbon_Footprint_Calculator_2020.xlsx" TargetMode="External"/><Relationship Id="rId2" Type="http://schemas.openxmlformats.org/officeDocument/2006/relationships/hyperlink" Target="https://www.eia.gov/consumption/manufacturing/data/2018/" TargetMode="External"/><Relationship Id="rId1" Type="http://schemas.openxmlformats.org/officeDocument/2006/relationships/hyperlink" Target="https://greet.anl.gov/" TargetMode="External"/><Relationship Id="rId6" Type="http://schemas.openxmlformats.org/officeDocument/2006/relationships/hyperlink" Target="https://afdc.energy.gov/fuels/renewable-diesel" TargetMode="External"/><Relationship Id="rId11" Type="http://schemas.openxmlformats.org/officeDocument/2006/relationships/hyperlink" Target="https://files.worldwildlife.org/wwfcmsprod/misc/climate_forest/Biogenic_Carbon_Footprint_Calculator_2020.xlsx" TargetMode="External"/><Relationship Id="rId5" Type="http://schemas.openxmlformats.org/officeDocument/2006/relationships/hyperlink" Target="https://greet.anl.gov/" TargetMode="External"/><Relationship Id="rId10" Type="http://schemas.openxmlformats.org/officeDocument/2006/relationships/hyperlink" Target="https://www.eia.gov/consumption/manufacturing/data/2018/" TargetMode="External"/><Relationship Id="rId4" Type="http://schemas.openxmlformats.org/officeDocument/2006/relationships/hyperlink" Target="https://afdc.energy.gov/fuels/biodiesel-production" TargetMode="External"/><Relationship Id="rId9" Type="http://schemas.openxmlformats.org/officeDocument/2006/relationships/hyperlink" Target="https://www.eia.gov/consumption/commercial/data/2018/"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zross\AppData\Local\Temp\e2d51dbf-51a6-499f-9835-cc3468c60171\v2.dotx" TargetMode="External"/></Relationships>
</file>

<file path=word/theme/_rels/theme1.xml.rels><?xml version="1.0" encoding="UTF-8" standalone="yes"?>
<Relationships xmlns="http://schemas.openxmlformats.org/package/2006/relationships"><Relationship Id="rId2" Type="http://schemas.openxmlformats.org/officeDocument/2006/relationships/image" Target="../media/image5.svg"/><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D main theme">
      <a:dk1>
        <a:srgbClr val="4A4D56"/>
      </a:dk1>
      <a:lt1>
        <a:srgbClr val="FFFFFF"/>
      </a:lt1>
      <a:dk2>
        <a:srgbClr val="053572"/>
      </a:dk2>
      <a:lt2>
        <a:srgbClr val="FFFFFF"/>
      </a:lt2>
      <a:accent1>
        <a:srgbClr val="172B54"/>
      </a:accent1>
      <a:accent2>
        <a:srgbClr val="265EAC"/>
      </a:accent2>
      <a:accent3>
        <a:srgbClr val="1FA9E1"/>
      </a:accent3>
      <a:accent4>
        <a:srgbClr val="7E83C0"/>
      </a:accent4>
      <a:accent5>
        <a:srgbClr val="5661AC"/>
      </a:accent5>
      <a:accent6>
        <a:srgbClr val="FFDFB8"/>
      </a:accent6>
      <a:hlink>
        <a:srgbClr val="4087C7"/>
      </a:hlink>
      <a:folHlink>
        <a:srgbClr val="A1CBED"/>
      </a:folHlink>
    </a:clrScheme>
    <a:fontScheme name="Franklin Gothic">
      <a:majorFont>
        <a:latin typeface="Franklin Gothic Medium" panose="020B0603020102020204"/>
        <a:ea typeface=""/>
        <a:cs typeface=""/>
        <a:font script="Jpan" typeface="HG創英角ｺﾞｼｯｸUB"/>
        <a:font script="Hang" typeface="돋움"/>
        <a:font script="Hans" typeface="隶书"/>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Franklin Gothic Book" panose="020B0503020102020204"/>
        <a:ea typeface=""/>
        <a:cs typeface=""/>
        <a:font script="Jpan" typeface="HGｺﾞｼｯｸE"/>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bwMode="auto">
        <a:blipFill>
          <a:blip xmlns:r="http://schemas.openxmlformats.org/officeDocument/2006/relationships" r:embed="rId1">
            <a:extLst>
              <a:ext uri="{96DAC541-7B7A-43D3-8B79-37D633B846F1}">
                <asvg:svgBlip xmlns:asvg="http://schemas.microsoft.com/office/drawing/2016/SVG/main" r:embed="rId2"/>
              </a:ext>
            </a:extLst>
          </a:blip>
          <a:stretch>
            <a:fillRect/>
          </a:stretch>
        </a:blipFill>
        <a:ln w="9525">
          <a:noFill/>
          <a:miter lim="800000"/>
          <a:headEnd/>
          <a:tailEnd/>
        </a:ln>
      </a:spPr>
      <a:bodyPr rot="0" vert="horz" wrap="square" lIns="468000" tIns="360000" rIns="468000" bIns="360000" anchor="ctr" anchorCtr="0">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e8e1301a-4824-4f76-be5e-fb0e78a42f4f"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427766C08AEF7C4DAA862693811D8D32" ma:contentTypeVersion="15" ma:contentTypeDescription="Create a new document." ma:contentTypeScope="" ma:versionID="32258ae4c42afe4f6bdf1a5de5c40a07">
  <xsd:schema xmlns:xsd="http://www.w3.org/2001/XMLSchema" xmlns:xs="http://www.w3.org/2001/XMLSchema" xmlns:p="http://schemas.microsoft.com/office/2006/metadata/properties" xmlns:ns3="4396c974-d301-4196-85bd-788e990e69b3" xmlns:ns4="e8e1301a-4824-4f76-be5e-fb0e78a42f4f" targetNamespace="http://schemas.microsoft.com/office/2006/metadata/properties" ma:root="true" ma:fieldsID="4aca3cbdb7e98eac911e230c5ff1de7e" ns3:_="" ns4:_="">
    <xsd:import namespace="4396c974-d301-4196-85bd-788e990e69b3"/>
    <xsd:import namespace="e8e1301a-4824-4f76-be5e-fb0e78a42f4f"/>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KeyPoints" minOccurs="0"/>
                <xsd:element ref="ns4:MediaServiceKeyPoints" minOccurs="0"/>
                <xsd:element ref="ns4:MediaServiceAutoTags" minOccurs="0"/>
                <xsd:element ref="ns4:MediaServiceGenerationTime" minOccurs="0"/>
                <xsd:element ref="ns4:MediaServiceEventHashCode" minOccurs="0"/>
                <xsd:element ref="ns4:MediaServiceOCR" minOccurs="0"/>
                <xsd:element ref="ns4:MediaServiceDateTaken" minOccurs="0"/>
                <xsd:element ref="ns4:MediaServiceLocation" minOccurs="0"/>
                <xsd:element ref="ns4:MediaLengthInSeconds" minOccurs="0"/>
                <xsd:element ref="ns4: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96c974-d301-4196-85bd-788e990e69b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8e1301a-4824-4f76-be5e-fb0e78a42f4f"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b:Source xmlns:b="http://schemas.openxmlformats.org/officeDocument/2006/bibliography" xmlns="http://schemas.openxmlformats.org/officeDocument/2006/bibliography">
    <b:Tag>Section</b:Tag>
    <b:RefOrder>1</b:RefOrder>
  </b:Source>
</b:Sources>
</file>

<file path=customXml/itemProps1.xml><?xml version="1.0" encoding="utf-8"?>
<ds:datastoreItem xmlns:ds="http://schemas.openxmlformats.org/officeDocument/2006/customXml" ds:itemID="{57BCF9B4-11FA-43C8-A177-CBCBF7796F48}">
  <ds:schemaRefs>
    <ds:schemaRef ds:uri="http://schemas.microsoft.com/office/2006/metadata/properties"/>
    <ds:schemaRef ds:uri="http://schemas.microsoft.com/office/infopath/2007/PartnerControls"/>
    <ds:schemaRef ds:uri="e8e1301a-4824-4f76-be5e-fb0e78a42f4f"/>
  </ds:schemaRefs>
</ds:datastoreItem>
</file>

<file path=customXml/itemProps2.xml><?xml version="1.0" encoding="utf-8"?>
<ds:datastoreItem xmlns:ds="http://schemas.openxmlformats.org/officeDocument/2006/customXml" ds:itemID="{B19C013B-9303-494A-AC0C-A15519A06B20}">
  <ds:schemaRefs>
    <ds:schemaRef ds:uri="http://schemas.microsoft.com/sharepoint/v3/contenttype/forms"/>
  </ds:schemaRefs>
</ds:datastoreItem>
</file>

<file path=customXml/itemProps3.xml><?xml version="1.0" encoding="utf-8"?>
<ds:datastoreItem xmlns:ds="http://schemas.openxmlformats.org/officeDocument/2006/customXml" ds:itemID="{A31C775A-C7B5-46A8-A80A-2378AC78F1E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96c974-d301-4196-85bd-788e990e69b3"/>
    <ds:schemaRef ds:uri="e8e1301a-4824-4f76-be5e-fb0e78a42f4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AE5D383-8288-463E-A8CC-DB995C254D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v2</Template>
  <TotalTime>25</TotalTime>
  <Pages>24</Pages>
  <Words>6101</Words>
  <Characters>35656</Characters>
  <Application>Microsoft Office Word</Application>
  <DocSecurity>0</DocSecurity>
  <Lines>297</Lines>
  <Paragraphs>83</Paragraphs>
  <ScaleCrop>false</ScaleCrop>
  <HeadingPairs>
    <vt:vector size="2" baseType="variant">
      <vt:variant>
        <vt:lpstr>Title</vt:lpstr>
      </vt:variant>
      <vt:variant>
        <vt:i4>1</vt:i4>
      </vt:variant>
    </vt:vector>
  </HeadingPairs>
  <TitlesOfParts>
    <vt:vector size="1" baseType="lpstr">
      <vt:lpstr>Report</vt:lpstr>
    </vt:vector>
  </TitlesOfParts>
  <Company/>
  <LinksUpToDate>false</LinksUpToDate>
  <CharactersWithSpaces>41674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Report</dc:title>
  <dc:subject/>
  <dc:creator>Zachary Ross</dc:creator>
  <cp:keywords/>
  <dc:description/>
  <cp:lastModifiedBy>Zachary Ross</cp:lastModifiedBy>
  <cp:revision>7</cp:revision>
  <dcterms:created xsi:type="dcterms:W3CDTF">2024-09-09T18:24:00Z</dcterms:created>
  <dcterms:modified xsi:type="dcterms:W3CDTF">2024-09-09T19:15:00Z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73564f48-a1c1-4ad1-8cac-555e9f90f817</vt:lpwstr>
  </property>
  <property fmtid="{D5CDD505-2E9C-101B-9397-08002B2CF9AE}" pid="3" name="ContentTypeId">
    <vt:lpwstr>0x010100427766C08AEF7C4DAA862693811D8D32</vt:lpwstr>
  </property>
</Properties>
</file>