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Franklin Gothic Book" w:hAnsi="Franklin Gothic Book"/>
          <w:sz w:val="22"/>
        </w:rPr>
        <w:id w:val="2047950357"/>
        <w:docPartObj>
          <w:docPartGallery w:val="Cover Pages"/>
          <w:docPartUnique/>
        </w:docPartObj>
      </w:sdtPr>
      <w:sdtEndPr/>
      <w:sdtContent>
        <w:p w14:paraId="07E3A45B" w14:textId="77777777" w:rsidR="001F322C" w:rsidRDefault="001F322C" w:rsidP="000E0419">
          <w:pPr>
            <w:pStyle w:val="TableTextLeftMedium"/>
          </w:pPr>
        </w:p>
        <w:p w14:paraId="4324E12B" w14:textId="77777777" w:rsidR="009F5AAD" w:rsidRDefault="009F5AAD" w:rsidP="001F322C"/>
        <w:p w14:paraId="78DF0B9B" w14:textId="77777777" w:rsidR="009F5AAD" w:rsidRDefault="009F5AAD" w:rsidP="001F322C"/>
        <w:p w14:paraId="1FCD231C" w14:textId="77777777" w:rsidR="009F5AAD" w:rsidRDefault="009F5AAD" w:rsidP="001F322C"/>
        <w:p w14:paraId="1BC8AEEF" w14:textId="77777777" w:rsidR="009F5AAD" w:rsidRDefault="009F5AAD" w:rsidP="001F322C"/>
        <w:p w14:paraId="7CEBBE6B" w14:textId="77777777" w:rsidR="0040139D" w:rsidRPr="00332677" w:rsidRDefault="000D4AB9" w:rsidP="0040139D">
          <w:pPr>
            <w:rPr>
              <w:sz w:val="24"/>
              <w:szCs w:val="24"/>
            </w:rPr>
          </w:pPr>
          <w:r>
            <w:rPr>
              <w:noProof/>
            </w:rPr>
            <w:drawing>
              <wp:anchor distT="0" distB="0" distL="114300" distR="114300" simplePos="0" relativeHeight="251658240" behindDoc="1" locked="1" layoutInCell="1" allowOverlap="1" wp14:anchorId="59F754D8" wp14:editId="007ED51D">
                <wp:simplePos x="0" y="0"/>
                <wp:positionH relativeFrom="margin">
                  <wp:align>center</wp:align>
                </wp:positionH>
                <wp:positionV relativeFrom="margin">
                  <wp:align>top</wp:align>
                </wp:positionV>
                <wp:extent cx="7753350" cy="1651000"/>
                <wp:effectExtent l="0" t="0" r="0" b="635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53350" cy="1651000"/>
                        </a:xfrm>
                        <a:prstGeom prst="rect">
                          <a:avLst/>
                        </a:prstGeom>
                      </pic:spPr>
                    </pic:pic>
                  </a:graphicData>
                </a:graphic>
                <wp14:sizeRelH relativeFrom="margin">
                  <wp14:pctWidth>0</wp14:pctWidth>
                </wp14:sizeRelH>
                <wp14:sizeRelV relativeFrom="margin">
                  <wp14:pctHeight>0</wp14:pctHeight>
                </wp14:sizeRelV>
              </wp:anchor>
            </w:drawing>
          </w:r>
        </w:p>
      </w:sdtContent>
    </w:sdt>
    <w:p w14:paraId="7AF50687" w14:textId="77777777" w:rsidR="0040139D" w:rsidRPr="00E02F5E" w:rsidRDefault="000D4AB9" w:rsidP="00E02F5E">
      <w:pPr>
        <w:pStyle w:val="Title"/>
        <w:rPr>
          <w:szCs w:val="60"/>
        </w:rPr>
      </w:pPr>
      <w:r w:rsidRPr="00E02F5E">
        <w:rPr>
          <w:szCs w:val="60"/>
        </w:rPr>
        <w:t>Memorandum</w:t>
      </w:r>
    </w:p>
    <w:p w14:paraId="4C92F1F4" w14:textId="77777777" w:rsidR="00ED46AA" w:rsidRDefault="00ED46AA" w:rsidP="00ED46AA">
      <w:pPr>
        <w:spacing w:before="120" w:after="100"/>
        <w:rPr>
          <w:lang w:val="en-ZA"/>
        </w:rPr>
      </w:pPr>
      <w:r w:rsidRPr="006463FA">
        <w:rPr>
          <w:rStyle w:val="IntenseEmphasis"/>
        </w:rPr>
        <w:t>To:</w:t>
      </w:r>
      <w:r w:rsidRPr="00900F0B">
        <w:rPr>
          <w:lang w:val="en-ZA"/>
        </w:rPr>
        <w:tab/>
      </w:r>
      <w:r>
        <w:rPr>
          <w:lang w:val="en-ZA"/>
        </w:rPr>
        <w:t>Deirdre Morris and Tom Knauer, Vermont Public Utility Commission</w:t>
      </w:r>
    </w:p>
    <w:p w14:paraId="3C590AD0" w14:textId="36E6F9C1" w:rsidR="00ED46AA" w:rsidRPr="00900F0B" w:rsidRDefault="00ED46AA" w:rsidP="00ED46AA">
      <w:pPr>
        <w:spacing w:before="120" w:after="100"/>
        <w:rPr>
          <w:lang w:val="en-ZA"/>
        </w:rPr>
      </w:pPr>
      <w:r w:rsidRPr="003C2E2D">
        <w:rPr>
          <w:rStyle w:val="IntenseEmphasis"/>
        </w:rPr>
        <w:t>CC:</w:t>
      </w:r>
      <w:r>
        <w:rPr>
          <w:lang w:val="en-ZA"/>
        </w:rPr>
        <w:tab/>
        <w:t>Vermont Clean Heat Standard Technical Advisory Group</w:t>
      </w:r>
      <w:r w:rsidR="00D101AA">
        <w:rPr>
          <w:lang w:val="en-ZA"/>
        </w:rPr>
        <w:t xml:space="preserve"> (TAG)</w:t>
      </w:r>
    </w:p>
    <w:p w14:paraId="3F0099FD" w14:textId="77777777" w:rsidR="00ED46AA" w:rsidRPr="00900F0B" w:rsidRDefault="00ED46AA" w:rsidP="00ED46AA">
      <w:pPr>
        <w:spacing w:after="100"/>
        <w:rPr>
          <w:lang w:val="en-ZA"/>
        </w:rPr>
      </w:pPr>
      <w:r w:rsidRPr="006463FA">
        <w:rPr>
          <w:rStyle w:val="IntenseEmphasis"/>
        </w:rPr>
        <w:t>From:</w:t>
      </w:r>
      <w:r w:rsidRPr="00900F0B">
        <w:rPr>
          <w:lang w:val="en-ZA"/>
        </w:rPr>
        <w:tab/>
      </w:r>
      <w:r>
        <w:rPr>
          <w:lang w:val="en-ZA"/>
        </w:rPr>
        <w:t>Kevin Ketchman, Joe Plummer, and Zach Ross, Opinion Dynamics</w:t>
      </w:r>
    </w:p>
    <w:p w14:paraId="1520633E" w14:textId="24C6610C" w:rsidR="00ED46AA" w:rsidRPr="00900F0B" w:rsidRDefault="00ED46AA" w:rsidP="00ED46AA">
      <w:pPr>
        <w:spacing w:after="100"/>
        <w:rPr>
          <w:lang w:val="en-ZA"/>
        </w:rPr>
      </w:pPr>
      <w:r w:rsidRPr="006463FA">
        <w:rPr>
          <w:rStyle w:val="IntenseEmphasis"/>
        </w:rPr>
        <w:t>Date:</w:t>
      </w:r>
      <w:r w:rsidRPr="00900F0B">
        <w:rPr>
          <w:lang w:val="en-ZA"/>
        </w:rPr>
        <w:tab/>
      </w:r>
      <w:r>
        <w:rPr>
          <w:lang w:val="en-ZA"/>
        </w:rPr>
        <w:t>August 2</w:t>
      </w:r>
      <w:r w:rsidR="00137F89">
        <w:rPr>
          <w:lang w:val="en-ZA"/>
        </w:rPr>
        <w:t>9</w:t>
      </w:r>
      <w:r>
        <w:rPr>
          <w:lang w:val="en-ZA"/>
        </w:rPr>
        <w:t>, 2024</w:t>
      </w:r>
    </w:p>
    <w:p w14:paraId="168BFD52" w14:textId="250C0FF5" w:rsidR="00ED46AA" w:rsidRPr="00900F0B" w:rsidRDefault="00ED46AA" w:rsidP="00ED46AA">
      <w:pPr>
        <w:spacing w:after="100"/>
        <w:rPr>
          <w:lang w:val="en-ZA"/>
        </w:rPr>
      </w:pPr>
      <w:r w:rsidRPr="006463FA">
        <w:rPr>
          <w:rStyle w:val="IntenseEmphasis"/>
        </w:rPr>
        <w:t>Re:</w:t>
      </w:r>
      <w:r w:rsidRPr="00900F0B">
        <w:rPr>
          <w:lang w:val="en-ZA"/>
        </w:rPr>
        <w:tab/>
      </w:r>
      <w:r w:rsidR="00090DEE">
        <w:rPr>
          <w:lang w:val="en-ZA"/>
        </w:rPr>
        <w:t xml:space="preserve">Draft </w:t>
      </w:r>
      <w:r>
        <w:rPr>
          <w:lang w:val="en-ZA"/>
        </w:rPr>
        <w:t xml:space="preserve">Vermont Clean Heat Standard </w:t>
      </w:r>
      <w:r w:rsidR="00090DEE">
        <w:rPr>
          <w:lang w:val="en-ZA"/>
        </w:rPr>
        <w:t xml:space="preserve">Lifecycle </w:t>
      </w:r>
      <w:r>
        <w:rPr>
          <w:lang w:val="en-ZA"/>
        </w:rPr>
        <w:t xml:space="preserve">Emissions </w:t>
      </w:r>
      <w:r w:rsidR="00090DEE">
        <w:rPr>
          <w:lang w:val="en-ZA"/>
        </w:rPr>
        <w:t xml:space="preserve">Rate </w:t>
      </w:r>
      <w:r>
        <w:rPr>
          <w:lang w:val="en-ZA"/>
        </w:rPr>
        <w:t>Schedule</w:t>
      </w:r>
    </w:p>
    <w:p w14:paraId="079A39E9" w14:textId="77777777" w:rsidR="0040139D" w:rsidRDefault="0040139D" w:rsidP="0040139D">
      <w:pPr>
        <w:sectPr w:rsidR="0040139D" w:rsidSect="005F02B5">
          <w:headerReference w:type="default" r:id="rId9"/>
          <w:footerReference w:type="default" r:id="rId10"/>
          <w:type w:val="continuous"/>
          <w:pgSz w:w="12240" w:h="15840" w:code="1"/>
          <w:pgMar w:top="39" w:right="567" w:bottom="567" w:left="567" w:header="142" w:footer="340" w:gutter="0"/>
          <w:cols w:space="708"/>
          <w:titlePg/>
          <w:docGrid w:linePitch="360"/>
        </w:sectPr>
      </w:pPr>
    </w:p>
    <w:p w14:paraId="42AC59A4" w14:textId="77777777" w:rsidR="0040139D" w:rsidRDefault="000D4AB9" w:rsidP="0040139D">
      <w:r>
        <w:rPr>
          <w:noProof/>
        </w:rPr>
        <mc:AlternateContent>
          <mc:Choice Requires="wps">
            <w:drawing>
              <wp:anchor distT="0" distB="0" distL="114300" distR="114300" simplePos="0" relativeHeight="251659264" behindDoc="0" locked="0" layoutInCell="1" allowOverlap="1" wp14:anchorId="1CC27508" wp14:editId="6B106FEC">
                <wp:simplePos x="0" y="0"/>
                <wp:positionH relativeFrom="column">
                  <wp:posOffset>10069</wp:posOffset>
                </wp:positionH>
                <wp:positionV relativeFrom="paragraph">
                  <wp:posOffset>125549</wp:posOffset>
                </wp:positionV>
                <wp:extent cx="7075715" cy="0"/>
                <wp:effectExtent l="0" t="0" r="0" b="0"/>
                <wp:wrapNone/>
                <wp:docPr id="2143302414" name="Straight Connector 1"/>
                <wp:cNvGraphicFramePr/>
                <a:graphic xmlns:a="http://schemas.openxmlformats.org/drawingml/2006/main">
                  <a:graphicData uri="http://schemas.microsoft.com/office/word/2010/wordprocessingShape">
                    <wps:wsp>
                      <wps:cNvCnPr/>
                      <wps:spPr>
                        <a:xfrm>
                          <a:off x="0" y="0"/>
                          <a:ext cx="707571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11A765"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9.9pt" to="557.9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" strokecolor="#172b54 [3204]" strokeweight=".5pt">
                <v:stroke joinstyle="miter"/>
              </v:line>
            </w:pict>
          </mc:Fallback>
        </mc:AlternateContent>
      </w:r>
    </w:p>
    <w:p w14:paraId="6C227D6F" w14:textId="77777777" w:rsidR="00ED46AA" w:rsidRPr="003C2E2D" w:rsidRDefault="00ED46AA" w:rsidP="004F54DB">
      <w:pPr>
        <w:pStyle w:val="Heading1"/>
        <w:spacing w:after="200"/>
        <w:rPr>
          <w:sz w:val="32"/>
          <w:szCs w:val="32"/>
        </w:rPr>
      </w:pPr>
      <w:r w:rsidRPr="003C2E2D">
        <w:rPr>
          <w:sz w:val="32"/>
          <w:szCs w:val="32"/>
        </w:rPr>
        <w:t>Introduction</w:t>
      </w:r>
    </w:p>
    <w:p w14:paraId="0232F14E" w14:textId="520ACBE7" w:rsidR="00ED46AA" w:rsidRDefault="00ED46AA" w:rsidP="00ED46AA">
      <w:r>
        <w:t>This memorandum presents Opinion Dynamics’ initial draft lifecycle emissions rate schedule to support the Vermont Clean Heat Standard (Vermont CHS). Vermont Public Act 18 (Act 18) established the Vermont CHS and places obligations on various Vermont stakeholders and agencies to develop the CHS. As part of Act 18, the Vermont Public Utility Commission (“the Commission”) is required to:</w:t>
      </w:r>
    </w:p>
    <w:p w14:paraId="775FF90D" w14:textId="77777777" w:rsidR="00ED46AA" w:rsidRPr="003C2E2D" w:rsidRDefault="00ED46AA" w:rsidP="00ED46AA">
      <w:pPr>
        <w:ind w:left="720" w:right="1386"/>
        <w:rPr>
          <w:i/>
          <w:iCs/>
        </w:rPr>
      </w:pPr>
      <w:r w:rsidRPr="003C2E2D">
        <w:rPr>
          <w:i/>
          <w:iCs/>
        </w:rPr>
        <w:t>“</w:t>
      </w:r>
      <w:proofErr w:type="gramStart"/>
      <w:r w:rsidRPr="003C2E2D">
        <w:rPr>
          <w:i/>
          <w:iCs/>
        </w:rPr>
        <w:t>establish</w:t>
      </w:r>
      <w:proofErr w:type="gramEnd"/>
      <w:r w:rsidRPr="003C2E2D">
        <w:rPr>
          <w:i/>
          <w:iCs/>
        </w:rPr>
        <w:t xml:space="preserve"> a schedule of lifecycle emissions rates for heating fuels and any fuel that is used in a clean heat measure, including electricity, or is itself a clean heat measure, including biofuels.”</w:t>
      </w:r>
      <w:r w:rsidRPr="003C2E2D">
        <w:rPr>
          <w:rStyle w:val="FootnoteReference"/>
          <w:i/>
          <w:iCs/>
        </w:rPr>
        <w:footnoteReference w:id="1"/>
      </w:r>
      <w:r w:rsidRPr="003C2E2D">
        <w:rPr>
          <w:i/>
          <w:iCs/>
        </w:rPr>
        <w:t xml:space="preserve"> </w:t>
      </w:r>
    </w:p>
    <w:p w14:paraId="37E25F03" w14:textId="7EDCEC58" w:rsidR="00ED46AA" w:rsidRDefault="00ED46AA" w:rsidP="00ED46AA">
      <w:r>
        <w:t xml:space="preserve">In fulfillment of this requirement, in our role as the Commission’s technical consultant, we have developed a draft </w:t>
      </w:r>
      <w:r w:rsidR="00C6101B">
        <w:t xml:space="preserve">lifecycle </w:t>
      </w:r>
      <w:r>
        <w:t xml:space="preserve">emissions </w:t>
      </w:r>
      <w:r w:rsidR="00C6101B">
        <w:t xml:space="preserve">rate </w:t>
      </w:r>
      <w:r>
        <w:t>schedule for the Commission’s review and approval. Combined with measure characterization work currently being conducted by Opinion Dynamics, this schedule will be used to estimate carbon dioxide equivalent (CO</w:t>
      </w:r>
      <w:r w:rsidRPr="003C2E2D">
        <w:rPr>
          <w:vertAlign w:val="subscript"/>
        </w:rPr>
        <w:t>2</w:t>
      </w:r>
      <w:r>
        <w:t>e) reductions resulting from Vermont CHS measures – measure characterizations will be used to estimate changes in use of heating fuels,</w:t>
      </w:r>
      <w:r>
        <w:rPr>
          <w:rStyle w:val="FootnoteReference"/>
        </w:rPr>
        <w:footnoteReference w:id="2"/>
      </w:r>
      <w:r>
        <w:t xml:space="preserve"> and the lifecycle emissions rate schedule will then be used to estimate the total lifecycle CO</w:t>
      </w:r>
      <w:r w:rsidRPr="00F0634F">
        <w:rPr>
          <w:vertAlign w:val="subscript"/>
        </w:rPr>
        <w:t>2</w:t>
      </w:r>
      <w:r>
        <w:t>e reduction associated with that change in fuels.</w:t>
      </w:r>
    </w:p>
    <w:p w14:paraId="0263C73E" w14:textId="77777777" w:rsidR="00ED46AA" w:rsidRPr="003C2E2D" w:rsidRDefault="00ED46AA" w:rsidP="004F54DB">
      <w:pPr>
        <w:pStyle w:val="Heading1"/>
        <w:spacing w:after="200"/>
        <w:rPr>
          <w:sz w:val="32"/>
          <w:szCs w:val="32"/>
        </w:rPr>
      </w:pPr>
      <w:r>
        <w:rPr>
          <w:sz w:val="32"/>
          <w:szCs w:val="32"/>
        </w:rPr>
        <w:t>Legislative Background and Requirements</w:t>
      </w:r>
    </w:p>
    <w:p w14:paraId="48DF3E22" w14:textId="77777777" w:rsidR="00ED46AA" w:rsidRDefault="00ED46AA" w:rsidP="00ED46AA">
      <w:r>
        <w:t>Act 18 provides explicit requirements for the development of the schedule with which our methodology complies:</w:t>
      </w:r>
    </w:p>
    <w:p w14:paraId="375F896D" w14:textId="77777777" w:rsidR="00ED46AA" w:rsidRPr="003C2E2D" w:rsidRDefault="00ED46AA" w:rsidP="00ED46AA">
      <w:pPr>
        <w:ind w:left="720" w:right="1386"/>
        <w:rPr>
          <w:i/>
          <w:iCs/>
        </w:rPr>
      </w:pPr>
      <w:r w:rsidRPr="003C2E2D">
        <w:rPr>
          <w:i/>
          <w:iCs/>
        </w:rPr>
        <w:t>“The schedule shall be based on transparent, verifiable, and accurate emissions accounting adapting the Argonne National Laboratory GREET Model, Intergovernmental Panel on Climate Change (IPCC) modeling, or an alternative of comparable analytical rigor to fit the Vermont thermal sector context, and the requirements of 10 V.S.A. § 578(a)(2) and (3).”</w:t>
      </w:r>
      <w:r w:rsidRPr="003C2E2D">
        <w:rPr>
          <w:rStyle w:val="FootnoteReference"/>
          <w:i/>
          <w:iCs/>
        </w:rPr>
        <w:footnoteReference w:id="3"/>
      </w:r>
    </w:p>
    <w:p w14:paraId="5FDC42B8" w14:textId="54105054" w:rsidR="00C27B1A" w:rsidRPr="00C27B1A" w:rsidRDefault="00ED46AA" w:rsidP="00C27B1A">
      <w:pPr>
        <w:ind w:left="720" w:right="666"/>
        <w:rPr>
          <w:i/>
          <w:iCs/>
        </w:rPr>
      </w:pPr>
      <w:r>
        <w:rPr>
          <w:i/>
          <w:iCs/>
        </w:rPr>
        <w:t>“</w:t>
      </w:r>
      <w:r w:rsidRPr="003C2E2D">
        <w:rPr>
          <w:i/>
          <w:iCs/>
        </w:rPr>
        <w:t xml:space="preserve">For each fuel pathway, the schedule shall account for greenhouse gas emissions from biogenic and geologic sources, including fugitive emissions and loss of stored carbon. In determining the baseline </w:t>
      </w:r>
      <w:r w:rsidRPr="003C2E2D">
        <w:rPr>
          <w:i/>
          <w:iCs/>
        </w:rPr>
        <w:lastRenderedPageBreak/>
        <w:t xml:space="preserve">emission rates for clean heat measures that are fuels, emissions baselines shall fully account for methane emissions reductions or captures already occurring, or expected to occur, for each fuel pathway </w:t>
      </w:r>
      <w:proofErr w:type="gramStart"/>
      <w:r w:rsidRPr="003C2E2D">
        <w:rPr>
          <w:i/>
          <w:iCs/>
        </w:rPr>
        <w:t>as a result of</w:t>
      </w:r>
      <w:proofErr w:type="gramEnd"/>
      <w:r w:rsidRPr="003C2E2D">
        <w:rPr>
          <w:i/>
          <w:iCs/>
        </w:rPr>
        <w:t xml:space="preserve"> local, State, or federal legal requirements that have been enacted or adopted that reduce greenhouse gas emissions.</w:t>
      </w:r>
      <w:r>
        <w:rPr>
          <w:i/>
          <w:iCs/>
        </w:rPr>
        <w:t>”</w:t>
      </w:r>
      <w:r>
        <w:rPr>
          <w:rStyle w:val="FootnoteReference"/>
          <w:i/>
          <w:iCs/>
        </w:rPr>
        <w:footnoteReference w:id="4"/>
      </w:r>
    </w:p>
    <w:p w14:paraId="03CAB380" w14:textId="49631DF1" w:rsidR="00ED46AA" w:rsidRPr="00413135" w:rsidRDefault="00ED46AA" w:rsidP="004F54DB">
      <w:pPr>
        <w:pStyle w:val="Heading1"/>
        <w:spacing w:after="200"/>
      </w:pPr>
      <w:r w:rsidRPr="00413135">
        <w:rPr>
          <w:sz w:val="32"/>
          <w:szCs w:val="32"/>
        </w:rPr>
        <w:t>Summary of Approach</w:t>
      </w:r>
      <w:r w:rsidR="00413135" w:rsidRPr="00413135">
        <w:rPr>
          <w:sz w:val="32"/>
          <w:szCs w:val="32"/>
        </w:rPr>
        <w:t xml:space="preserve"> to Emissions Analysis</w:t>
      </w:r>
    </w:p>
    <w:p w14:paraId="3CFD8924" w14:textId="14357A1A" w:rsidR="009A23D2" w:rsidRDefault="00ED46AA" w:rsidP="004F54DB">
      <w:pPr>
        <w:spacing w:after="180"/>
      </w:pPr>
      <w:r w:rsidRPr="00413135">
        <w:t xml:space="preserve">The fuels </w:t>
      </w:r>
      <w:r w:rsidR="00792F94">
        <w:t>we analyzed</w:t>
      </w:r>
      <w:r w:rsidR="00C04969">
        <w:rPr>
          <w:rStyle w:val="FootnoteReference"/>
        </w:rPr>
        <w:footnoteReference w:id="5"/>
      </w:r>
      <w:r w:rsidR="004F54DB">
        <w:t xml:space="preserve"> and the approach we used in developing emissions rates for them</w:t>
      </w:r>
      <w:r w:rsidR="00792F94">
        <w:t xml:space="preserve"> are</w:t>
      </w:r>
      <w:r w:rsidRPr="00413135">
        <w:t xml:space="preserve"> listed in </w:t>
      </w:r>
      <w:r w:rsidRPr="00413135">
        <w:fldChar w:fldCharType="begin"/>
      </w:r>
      <w:r w:rsidRPr="00413135">
        <w:instrText xml:space="preserve"> REF _Ref167280212 \h </w:instrText>
      </w:r>
      <w:r w:rsidR="00B22E9B" w:rsidRPr="00413135">
        <w:instrText xml:space="preserve"> \* MERGEFORMAT </w:instrText>
      </w:r>
      <w:r w:rsidRPr="00413135">
        <w:fldChar w:fldCharType="separate"/>
      </w:r>
      <w:r w:rsidR="00290861" w:rsidRPr="00413135">
        <w:t xml:space="preserve">Table </w:t>
      </w:r>
      <w:r w:rsidR="00290861">
        <w:rPr>
          <w:noProof/>
        </w:rPr>
        <w:t>1</w:t>
      </w:r>
      <w:r w:rsidRPr="00413135">
        <w:fldChar w:fldCharType="end"/>
      </w:r>
      <w:r w:rsidR="004F54DB">
        <w:t>.</w:t>
      </w:r>
      <w:r w:rsidR="00756426">
        <w:t xml:space="preserve"> Several fuels are produced from more than one feedstock, e.g., biomethane from </w:t>
      </w:r>
      <w:r w:rsidR="002E32CA">
        <w:t>animal waste or</w:t>
      </w:r>
      <w:r w:rsidR="00756426">
        <w:t xml:space="preserve"> landfill gas. Table 1 lists </w:t>
      </w:r>
      <w:proofErr w:type="gramStart"/>
      <w:r w:rsidR="00756426">
        <w:t>all of</w:t>
      </w:r>
      <w:proofErr w:type="gramEnd"/>
      <w:r w:rsidR="00756426">
        <w:t xml:space="preserve"> the combinations of fuel and feedstock, referred to as a fuel pathway, for which emission</w:t>
      </w:r>
      <w:r w:rsidR="00C6101B">
        <w:t>s</w:t>
      </w:r>
      <w:r w:rsidR="00756426">
        <w:t xml:space="preserve"> </w:t>
      </w:r>
      <w:r w:rsidR="00C6101B">
        <w:t>rates</w:t>
      </w:r>
      <w:r w:rsidR="00756426">
        <w:t xml:space="preserve"> were developed.</w:t>
      </w:r>
    </w:p>
    <w:p w14:paraId="5E46D2D2" w14:textId="25166FEE" w:rsidR="00ED46AA" w:rsidRDefault="00ED46AA" w:rsidP="004F54DB">
      <w:pPr>
        <w:pStyle w:val="Caption"/>
      </w:pPr>
      <w:bookmarkStart w:id="1" w:name="_Ref167280212"/>
      <w:r w:rsidRPr="00413135">
        <w:t xml:space="preserve">Table </w:t>
      </w:r>
      <w:r w:rsidRPr="00413135">
        <w:fldChar w:fldCharType="begin"/>
      </w:r>
      <w:r w:rsidRPr="00413135">
        <w:instrText xml:space="preserve"> SEQ Table \* ARABIC </w:instrText>
      </w:r>
      <w:r w:rsidRPr="00413135">
        <w:fldChar w:fldCharType="separate"/>
      </w:r>
      <w:r w:rsidR="00290861">
        <w:rPr>
          <w:noProof/>
        </w:rPr>
        <w:t>1</w:t>
      </w:r>
      <w:r w:rsidRPr="00413135">
        <w:fldChar w:fldCharType="end"/>
      </w:r>
      <w:bookmarkEnd w:id="1"/>
      <w:r w:rsidRPr="00413135">
        <w:t xml:space="preserve">. </w:t>
      </w:r>
      <w:r w:rsidR="00C04969">
        <w:t xml:space="preserve">Fuels </w:t>
      </w:r>
      <w:r w:rsidR="00756426">
        <w:t xml:space="preserve">Pathways </w:t>
      </w:r>
      <w:r w:rsidR="00C04969">
        <w:t>Analyzed</w:t>
      </w:r>
      <w:r w:rsidR="005D547A">
        <w:t xml:space="preserve"> and Emissions Source by Lifecycle Phase</w:t>
      </w:r>
    </w:p>
    <w:tbl>
      <w:tblPr>
        <w:tblStyle w:val="TableGrid"/>
        <w:tblW w:w="5000" w:type="pct"/>
        <w:tblBorders>
          <w:top w:val="single" w:sz="4" w:space="0" w:color="4D4D4F"/>
          <w:left w:val="single" w:sz="4" w:space="0" w:color="4D4D4F"/>
          <w:bottom w:val="single" w:sz="4" w:space="0" w:color="4D4D4F"/>
          <w:right w:val="single" w:sz="4" w:space="0" w:color="4D4D4F"/>
          <w:insideH w:val="single" w:sz="4" w:space="0" w:color="4D4D4F"/>
          <w:insideV w:val="single" w:sz="4" w:space="0" w:color="4D4D4F"/>
        </w:tblBorders>
        <w:tblLook w:val="04A0" w:firstRow="1" w:lastRow="0" w:firstColumn="1" w:lastColumn="0" w:noHBand="0" w:noVBand="1"/>
      </w:tblPr>
      <w:tblGrid>
        <w:gridCol w:w="4225"/>
        <w:gridCol w:w="3511"/>
        <w:gridCol w:w="3360"/>
      </w:tblGrid>
      <w:tr w:rsidR="004F54DB" w:rsidRPr="00413135" w14:paraId="6DCA8822" w14:textId="77777777" w:rsidTr="004F54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pct"/>
            <w:vMerge w:val="restart"/>
          </w:tcPr>
          <w:p w14:paraId="5E129921" w14:textId="5ED6B7DC" w:rsidR="004F54DB" w:rsidRPr="00413135" w:rsidRDefault="004F54DB" w:rsidP="00C04969">
            <w:pPr>
              <w:pStyle w:val="TableHeadingCentered"/>
              <w:jc w:val="left"/>
            </w:pPr>
            <w:r>
              <w:t>Fuel</w:t>
            </w:r>
            <w:r w:rsidR="009A23D2">
              <w:t xml:space="preserve"> Pathway</w:t>
            </w:r>
          </w:p>
        </w:tc>
        <w:tc>
          <w:tcPr>
            <w:tcW w:w="3096" w:type="pct"/>
            <w:gridSpan w:val="2"/>
            <w:tcBorders>
              <w:bottom w:val="single" w:sz="4" w:space="0" w:color="4D4D4F"/>
            </w:tcBorders>
          </w:tcPr>
          <w:p w14:paraId="0A8974D6" w14:textId="682BCB7F" w:rsidR="004F54DB" w:rsidRPr="00413135" w:rsidRDefault="006E4E64" w:rsidP="00292B83">
            <w:pPr>
              <w:pStyle w:val="TableHeadingLeft"/>
              <w:cnfStyle w:val="100000000000" w:firstRow="1" w:lastRow="0" w:firstColumn="0" w:lastColumn="0" w:oddVBand="0" w:evenVBand="0" w:oddHBand="0" w:evenHBand="0" w:firstRowFirstColumn="0" w:firstRowLastColumn="0" w:lastRowFirstColumn="0" w:lastRowLastColumn="0"/>
            </w:pPr>
            <w:r>
              <w:t>Emissions Source</w:t>
            </w:r>
          </w:p>
        </w:tc>
      </w:tr>
      <w:tr w:rsidR="004F54DB" w:rsidRPr="00413135" w14:paraId="46BC3578" w14:textId="77777777" w:rsidTr="00ED2B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pct"/>
            <w:vMerge/>
            <w:shd w:val="clear" w:color="auto" w:fill="053572" w:themeFill="text2"/>
          </w:tcPr>
          <w:p w14:paraId="0DD565E2" w14:textId="77777777" w:rsidR="004F54DB" w:rsidRPr="00413135" w:rsidRDefault="004F54DB" w:rsidP="00292B83">
            <w:pPr>
              <w:pStyle w:val="TableHeadingCentered"/>
            </w:pPr>
          </w:p>
        </w:tc>
        <w:tc>
          <w:tcPr>
            <w:tcW w:w="1582" w:type="pct"/>
            <w:shd w:val="clear" w:color="auto" w:fill="053572" w:themeFill="text2"/>
          </w:tcPr>
          <w:p w14:paraId="4EB2475F" w14:textId="1C001FB4" w:rsidR="004F54DB" w:rsidRPr="00413135" w:rsidRDefault="004F54DB" w:rsidP="00292B83">
            <w:pPr>
              <w:pStyle w:val="TableHeadingCentered"/>
              <w:cnfStyle w:val="000000100000" w:firstRow="0" w:lastRow="0" w:firstColumn="0" w:lastColumn="0" w:oddVBand="0" w:evenVBand="0" w:oddHBand="1" w:evenHBand="0" w:firstRowFirstColumn="0" w:firstRowLastColumn="0" w:lastRowFirstColumn="0" w:lastRowLastColumn="0"/>
            </w:pPr>
            <w:r w:rsidRPr="00413135">
              <w:t>Upstream</w:t>
            </w:r>
            <w:r w:rsidR="006E4E64">
              <w:t xml:space="preserve"> Emissions</w:t>
            </w:r>
          </w:p>
        </w:tc>
        <w:tc>
          <w:tcPr>
            <w:tcW w:w="1514" w:type="pct"/>
            <w:shd w:val="clear" w:color="auto" w:fill="053572" w:themeFill="text2"/>
          </w:tcPr>
          <w:p w14:paraId="2868F12A" w14:textId="266ABDB8" w:rsidR="004F54DB" w:rsidRPr="00413135" w:rsidRDefault="004F54DB" w:rsidP="00292B83">
            <w:pPr>
              <w:pStyle w:val="TableHeadingCentered"/>
              <w:cnfStyle w:val="000000100000" w:firstRow="0" w:lastRow="0" w:firstColumn="0" w:lastColumn="0" w:oddVBand="0" w:evenVBand="0" w:oddHBand="1" w:evenHBand="0" w:firstRowFirstColumn="0" w:firstRowLastColumn="0" w:lastRowFirstColumn="0" w:lastRowLastColumn="0"/>
            </w:pPr>
            <w:r w:rsidRPr="00413135">
              <w:t>Combustion</w:t>
            </w:r>
            <w:r w:rsidR="006E4E64">
              <w:t xml:space="preserve"> Emissions</w:t>
            </w:r>
          </w:p>
        </w:tc>
      </w:tr>
      <w:tr w:rsidR="004F54DB" w:rsidRPr="00C04969" w14:paraId="7D00F68F" w14:textId="77777777" w:rsidTr="00ED2B4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Borders>
              <w:right w:val="nil"/>
            </w:tcBorders>
            <w:shd w:val="clear" w:color="auto" w:fill="1FA9E1" w:themeFill="accent3"/>
          </w:tcPr>
          <w:p w14:paraId="3D5C0D24" w14:textId="2827D375" w:rsidR="004F54DB" w:rsidRPr="004F54DB" w:rsidRDefault="004F54DB" w:rsidP="004F54DB">
            <w:pPr>
              <w:rPr>
                <w:rFonts w:ascii="Franklin Gothic Medium" w:hAnsi="Franklin Gothic Medium"/>
                <w:color w:val="FFFFFF" w:themeColor="background1"/>
              </w:rPr>
            </w:pPr>
            <w:r w:rsidRPr="004F54DB">
              <w:rPr>
                <w:rFonts w:ascii="Franklin Gothic Medium" w:hAnsi="Franklin Gothic Medium"/>
                <w:color w:val="FFFFFF" w:themeColor="background1"/>
              </w:rPr>
              <w:t>Grid Electricity</w:t>
            </w:r>
          </w:p>
        </w:tc>
        <w:tc>
          <w:tcPr>
            <w:tcW w:w="1582" w:type="pct"/>
            <w:tcBorders>
              <w:left w:val="nil"/>
              <w:right w:val="nil"/>
            </w:tcBorders>
            <w:shd w:val="clear" w:color="auto" w:fill="1FA9E1" w:themeFill="accent3"/>
          </w:tcPr>
          <w:p w14:paraId="0F710209" w14:textId="7997676B" w:rsidR="004F54DB" w:rsidRPr="00C04969" w:rsidRDefault="004F54DB" w:rsidP="00292B83">
            <w:pPr>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1"/>
              </w:rPr>
            </w:pPr>
          </w:p>
        </w:tc>
        <w:tc>
          <w:tcPr>
            <w:tcW w:w="1514" w:type="pct"/>
            <w:tcBorders>
              <w:left w:val="nil"/>
            </w:tcBorders>
            <w:shd w:val="clear" w:color="auto" w:fill="1FA9E1" w:themeFill="accent3"/>
          </w:tcPr>
          <w:p w14:paraId="7D67D295" w14:textId="3C8FF42E" w:rsidR="004F54DB" w:rsidRPr="00C04969" w:rsidRDefault="004F54DB" w:rsidP="00292B83">
            <w:pPr>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1"/>
              </w:rPr>
            </w:pPr>
          </w:p>
        </w:tc>
      </w:tr>
      <w:tr w:rsidR="005D547A" w:rsidRPr="00413135" w14:paraId="136487D2" w14:textId="77777777" w:rsidTr="00ED2B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17EA88A1" w14:textId="3D5662FF" w:rsidR="005D547A" w:rsidRPr="004F54DB" w:rsidRDefault="005D547A" w:rsidP="005D547A">
            <w:pPr>
              <w:rPr>
                <w:b/>
                <w:bCs/>
              </w:rPr>
            </w:pPr>
            <w:r w:rsidRPr="004F54DB">
              <w:rPr>
                <w:b/>
                <w:bCs/>
              </w:rPr>
              <w:t>Grid electricity</w:t>
            </w:r>
          </w:p>
        </w:tc>
        <w:tc>
          <w:tcPr>
            <w:tcW w:w="1582" w:type="pct"/>
          </w:tcPr>
          <w:p w14:paraId="1B883FB7" w14:textId="483C492A" w:rsidR="005D547A" w:rsidRPr="00413135" w:rsidRDefault="006E4E64" w:rsidP="0025719A">
            <w:pPr>
              <w:pStyle w:val="TableBullet"/>
              <w:cnfStyle w:val="000000100000" w:firstRow="0" w:lastRow="0" w:firstColumn="0" w:lastColumn="0" w:oddVBand="0" w:evenVBand="0" w:oddHBand="1" w:evenHBand="0" w:firstRowFirstColumn="0" w:firstRowLastColumn="0" w:lastRowFirstColumn="0" w:lastRowLastColumn="0"/>
            </w:pPr>
            <w:r>
              <w:t xml:space="preserve">Opinion Dynamics analysis using </w:t>
            </w:r>
            <w:r w:rsidR="005D547A">
              <w:t>GREET1 2023</w:t>
            </w:r>
            <w:r w:rsidR="004F1E7A">
              <w:t>rev1</w:t>
            </w:r>
            <w:r w:rsidR="0025719A">
              <w:t xml:space="preserve"> and other sources</w:t>
            </w:r>
          </w:p>
        </w:tc>
        <w:tc>
          <w:tcPr>
            <w:tcW w:w="1514" w:type="pct"/>
          </w:tcPr>
          <w:p w14:paraId="55010970" w14:textId="61861274" w:rsidR="005D547A" w:rsidRPr="006E4E64" w:rsidRDefault="006E4E64" w:rsidP="005D547A">
            <w:pPr>
              <w:pStyle w:val="TableBullet"/>
              <w:cnfStyle w:val="000000100000" w:firstRow="0" w:lastRow="0" w:firstColumn="0" w:lastColumn="0" w:oddVBand="0" w:evenVBand="0" w:oddHBand="1" w:evenHBand="0" w:firstRowFirstColumn="0" w:firstRowLastColumn="0" w:lastRowFirstColumn="0" w:lastRowLastColumn="0"/>
            </w:pPr>
            <w:r>
              <w:t>CO</w:t>
            </w:r>
            <w:r>
              <w:rPr>
                <w:vertAlign w:val="subscript"/>
              </w:rPr>
              <w:t>2</w:t>
            </w:r>
            <w:r w:rsidRPr="006E4E64">
              <w:t>,</w:t>
            </w:r>
            <w:r>
              <w:rPr>
                <w:vertAlign w:val="subscript"/>
              </w:rPr>
              <w:t xml:space="preserve"> </w:t>
            </w:r>
            <w:r>
              <w:t>CH</w:t>
            </w:r>
            <w:r>
              <w:rPr>
                <w:vertAlign w:val="subscript"/>
              </w:rPr>
              <w:t>4</w:t>
            </w:r>
            <w:r w:rsidRPr="006E4E64">
              <w:t>,</w:t>
            </w:r>
            <w:r>
              <w:rPr>
                <w:vertAlign w:val="subscript"/>
              </w:rPr>
              <w:t xml:space="preserve"> </w:t>
            </w:r>
            <w:r>
              <w:t>and N</w:t>
            </w:r>
            <w:r>
              <w:rPr>
                <w:vertAlign w:val="subscript"/>
              </w:rPr>
              <w:t>2</w:t>
            </w:r>
            <w:r>
              <w:t xml:space="preserve">O combustion emissions accounted for using emissions </w:t>
            </w:r>
            <w:r w:rsidR="00C6101B">
              <w:t>rates</w:t>
            </w:r>
            <w:r>
              <w:t xml:space="preserve"> from </w:t>
            </w:r>
            <w:r w:rsidRPr="005D547A">
              <w:t>U.S. EPA Emission Factors Hub</w:t>
            </w:r>
          </w:p>
        </w:tc>
      </w:tr>
      <w:tr w:rsidR="004F54DB" w:rsidRPr="00413135" w14:paraId="335E244B" w14:textId="77777777" w:rsidTr="00ED2B4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Borders>
              <w:right w:val="nil"/>
            </w:tcBorders>
            <w:shd w:val="clear" w:color="auto" w:fill="1FA9E1" w:themeFill="accent3"/>
          </w:tcPr>
          <w:p w14:paraId="12B88828" w14:textId="5C434D10" w:rsidR="004F54DB" w:rsidRPr="004F54DB" w:rsidRDefault="001324CD" w:rsidP="004F54DB">
            <w:pPr>
              <w:rPr>
                <w:b/>
                <w:bCs/>
                <w:color w:val="FFFFFF" w:themeColor="background1"/>
              </w:rPr>
            </w:pPr>
            <w:r>
              <w:rPr>
                <w:rFonts w:ascii="Franklin Gothic Medium" w:hAnsi="Franklin Gothic Medium"/>
                <w:color w:val="FFFFFF" w:themeColor="background1"/>
              </w:rPr>
              <w:t>Liquid</w:t>
            </w:r>
            <w:r w:rsidR="00D30AE8">
              <w:rPr>
                <w:rFonts w:ascii="Franklin Gothic Medium" w:hAnsi="Franklin Gothic Medium"/>
                <w:color w:val="FFFFFF" w:themeColor="background1"/>
              </w:rPr>
              <w:t xml:space="preserve"> and </w:t>
            </w:r>
            <w:r>
              <w:rPr>
                <w:rFonts w:ascii="Franklin Gothic Medium" w:hAnsi="Franklin Gothic Medium"/>
                <w:color w:val="FFFFFF" w:themeColor="background1"/>
              </w:rPr>
              <w:t>Gaseous Fuels</w:t>
            </w:r>
          </w:p>
        </w:tc>
        <w:tc>
          <w:tcPr>
            <w:tcW w:w="1582" w:type="pct"/>
            <w:tcBorders>
              <w:left w:val="nil"/>
              <w:right w:val="nil"/>
            </w:tcBorders>
            <w:shd w:val="clear" w:color="auto" w:fill="1FA9E1" w:themeFill="accent3"/>
          </w:tcPr>
          <w:p w14:paraId="4C4C10A4" w14:textId="77777777" w:rsidR="004F54DB" w:rsidRPr="00C04969" w:rsidRDefault="004F54DB" w:rsidP="00C04969">
            <w:pPr>
              <w:cnfStyle w:val="000000010000" w:firstRow="0" w:lastRow="0" w:firstColumn="0" w:lastColumn="0" w:oddVBand="0" w:evenVBand="0" w:oddHBand="0" w:evenHBand="1" w:firstRowFirstColumn="0" w:firstRowLastColumn="0" w:lastRowFirstColumn="0" w:lastRowLastColumn="0"/>
              <w:rPr>
                <w:color w:val="FFFFFF" w:themeColor="background1"/>
              </w:rPr>
            </w:pPr>
          </w:p>
        </w:tc>
        <w:tc>
          <w:tcPr>
            <w:tcW w:w="1514" w:type="pct"/>
            <w:tcBorders>
              <w:left w:val="nil"/>
            </w:tcBorders>
            <w:shd w:val="clear" w:color="auto" w:fill="1FA9E1" w:themeFill="accent3"/>
          </w:tcPr>
          <w:p w14:paraId="1D274091" w14:textId="77777777" w:rsidR="004F54DB" w:rsidRPr="00C04969" w:rsidRDefault="004F54DB" w:rsidP="00C04969">
            <w:pPr>
              <w:cnfStyle w:val="000000010000" w:firstRow="0" w:lastRow="0" w:firstColumn="0" w:lastColumn="0" w:oddVBand="0" w:evenVBand="0" w:oddHBand="0" w:evenHBand="1" w:firstRowFirstColumn="0" w:firstRowLastColumn="0" w:lastRowFirstColumn="0" w:lastRowLastColumn="0"/>
              <w:rPr>
                <w:color w:val="FFFFFF" w:themeColor="background1"/>
              </w:rPr>
            </w:pPr>
          </w:p>
        </w:tc>
      </w:tr>
      <w:tr w:rsidR="006E4E64" w:rsidRPr="00413135" w14:paraId="113B451D" w14:textId="77777777" w:rsidTr="00ED2B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4B1A8A9D" w14:textId="671188D0" w:rsidR="006E4E64" w:rsidRPr="004F54DB" w:rsidRDefault="006E4E64" w:rsidP="006E4E64">
            <w:pPr>
              <w:rPr>
                <w:b/>
                <w:bCs/>
              </w:rPr>
            </w:pPr>
            <w:r w:rsidRPr="004F54DB">
              <w:rPr>
                <w:b/>
                <w:bCs/>
              </w:rPr>
              <w:t>Natural gas</w:t>
            </w:r>
          </w:p>
        </w:tc>
        <w:tc>
          <w:tcPr>
            <w:tcW w:w="1582" w:type="pct"/>
            <w:vMerge w:val="restart"/>
          </w:tcPr>
          <w:p w14:paraId="54448113" w14:textId="53E2CE59" w:rsidR="006E4E64" w:rsidRPr="00413135" w:rsidRDefault="006E4E64" w:rsidP="0025719A">
            <w:pPr>
              <w:pStyle w:val="TableBullet"/>
              <w:cnfStyle w:val="000000100000" w:firstRow="0" w:lastRow="0" w:firstColumn="0" w:lastColumn="0" w:oddVBand="0" w:evenVBand="0" w:oddHBand="1" w:evenHBand="0" w:firstRowFirstColumn="0" w:firstRowLastColumn="0" w:lastRowFirstColumn="0" w:lastRowLastColumn="0"/>
            </w:pPr>
            <w:r>
              <w:t>Opinion Dynamics analysis using GREET1 2023</w:t>
            </w:r>
            <w:r w:rsidR="004F1E7A">
              <w:t>rev1</w:t>
            </w:r>
          </w:p>
        </w:tc>
        <w:tc>
          <w:tcPr>
            <w:tcW w:w="1514" w:type="pct"/>
            <w:vMerge w:val="restart"/>
          </w:tcPr>
          <w:p w14:paraId="73D5158D" w14:textId="223FE674" w:rsidR="006E4E64" w:rsidRDefault="006E4E64" w:rsidP="006E4E64">
            <w:pPr>
              <w:pStyle w:val="TableBullet"/>
              <w:cnfStyle w:val="000000100000" w:firstRow="0" w:lastRow="0" w:firstColumn="0" w:lastColumn="0" w:oddVBand="0" w:evenVBand="0" w:oddHBand="1" w:evenHBand="0" w:firstRowFirstColumn="0" w:firstRowLastColumn="0" w:lastRowFirstColumn="0" w:lastRowLastColumn="0"/>
            </w:pPr>
            <w:r>
              <w:t>CO</w:t>
            </w:r>
            <w:r>
              <w:rPr>
                <w:vertAlign w:val="subscript"/>
              </w:rPr>
              <w:t>2</w:t>
            </w:r>
            <w:r w:rsidRPr="006E4E64">
              <w:t>,</w:t>
            </w:r>
            <w:r>
              <w:rPr>
                <w:vertAlign w:val="subscript"/>
              </w:rPr>
              <w:t xml:space="preserve"> </w:t>
            </w:r>
            <w:r>
              <w:t>CH</w:t>
            </w:r>
            <w:r>
              <w:rPr>
                <w:vertAlign w:val="subscript"/>
              </w:rPr>
              <w:t>4</w:t>
            </w:r>
            <w:r w:rsidRPr="006E4E64">
              <w:t>,</w:t>
            </w:r>
            <w:r>
              <w:rPr>
                <w:vertAlign w:val="subscript"/>
              </w:rPr>
              <w:t xml:space="preserve"> </w:t>
            </w:r>
            <w:r>
              <w:t>and N</w:t>
            </w:r>
            <w:r>
              <w:rPr>
                <w:vertAlign w:val="subscript"/>
              </w:rPr>
              <w:t>2</w:t>
            </w:r>
            <w:r>
              <w:t xml:space="preserve">O combustion emissions accounted for using emissions </w:t>
            </w:r>
            <w:r w:rsidR="00C6101B">
              <w:t>rates</w:t>
            </w:r>
            <w:r>
              <w:t xml:space="preserve"> from </w:t>
            </w:r>
            <w:r w:rsidRPr="005D547A">
              <w:t>U.S. EPA Emission Factors Hub</w:t>
            </w:r>
          </w:p>
          <w:p w14:paraId="6318A026" w14:textId="10965F5C" w:rsidR="006E4E64" w:rsidRDefault="006E4E64" w:rsidP="006E4E64">
            <w:pPr>
              <w:cnfStyle w:val="000000100000" w:firstRow="0" w:lastRow="0" w:firstColumn="0" w:lastColumn="0" w:oddVBand="0" w:evenVBand="0" w:oddHBand="1" w:evenHBand="0" w:firstRowFirstColumn="0" w:firstRowLastColumn="0" w:lastRowFirstColumn="0" w:lastRowLastColumn="0"/>
            </w:pPr>
          </w:p>
        </w:tc>
      </w:tr>
      <w:tr w:rsidR="006E4E64" w:rsidRPr="00413135" w14:paraId="38983D57" w14:textId="77777777" w:rsidTr="00ED2B4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77A4DB95" w14:textId="26BA7FD6" w:rsidR="006E4E64" w:rsidRPr="004F54DB" w:rsidRDefault="006E4E64" w:rsidP="005D547A">
            <w:pPr>
              <w:rPr>
                <w:b/>
                <w:bCs/>
              </w:rPr>
            </w:pPr>
            <w:r w:rsidRPr="004F54DB">
              <w:rPr>
                <w:b/>
                <w:bCs/>
              </w:rPr>
              <w:t>Fuel oil #2</w:t>
            </w:r>
          </w:p>
        </w:tc>
        <w:tc>
          <w:tcPr>
            <w:tcW w:w="1582" w:type="pct"/>
            <w:vMerge/>
          </w:tcPr>
          <w:p w14:paraId="0A88E309" w14:textId="00BC0A21" w:rsidR="006E4E64" w:rsidRPr="00413135" w:rsidRDefault="006E4E64" w:rsidP="005D547A">
            <w:pPr>
              <w:cnfStyle w:val="000000010000" w:firstRow="0" w:lastRow="0" w:firstColumn="0" w:lastColumn="0" w:oddVBand="0" w:evenVBand="0" w:oddHBand="0" w:evenHBand="1" w:firstRowFirstColumn="0" w:firstRowLastColumn="0" w:lastRowFirstColumn="0" w:lastRowLastColumn="0"/>
            </w:pPr>
          </w:p>
        </w:tc>
        <w:tc>
          <w:tcPr>
            <w:tcW w:w="1514" w:type="pct"/>
            <w:vMerge/>
          </w:tcPr>
          <w:p w14:paraId="407A8625" w14:textId="0CF3A7A2" w:rsidR="006E4E64" w:rsidRDefault="006E4E64" w:rsidP="005D547A">
            <w:pPr>
              <w:cnfStyle w:val="000000010000" w:firstRow="0" w:lastRow="0" w:firstColumn="0" w:lastColumn="0" w:oddVBand="0" w:evenVBand="0" w:oddHBand="0" w:evenHBand="1" w:firstRowFirstColumn="0" w:firstRowLastColumn="0" w:lastRowFirstColumn="0" w:lastRowLastColumn="0"/>
            </w:pPr>
          </w:p>
        </w:tc>
      </w:tr>
      <w:tr w:rsidR="006E4E64" w:rsidRPr="00413135" w14:paraId="20B6A91D" w14:textId="77777777" w:rsidTr="00ED2B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1FC53F01" w14:textId="5BC6FA46" w:rsidR="006E4E64" w:rsidRPr="004F54DB" w:rsidRDefault="006E4E64" w:rsidP="005D547A">
            <w:pPr>
              <w:rPr>
                <w:b/>
                <w:bCs/>
              </w:rPr>
            </w:pPr>
            <w:r w:rsidRPr="004F54DB">
              <w:rPr>
                <w:b/>
                <w:bCs/>
              </w:rPr>
              <w:t xml:space="preserve">Propane   </w:t>
            </w:r>
          </w:p>
        </w:tc>
        <w:tc>
          <w:tcPr>
            <w:tcW w:w="1582" w:type="pct"/>
            <w:vMerge/>
          </w:tcPr>
          <w:p w14:paraId="6D0EDC62" w14:textId="1B98EC1F" w:rsidR="006E4E64" w:rsidRPr="00413135" w:rsidRDefault="006E4E64" w:rsidP="005D547A">
            <w:pPr>
              <w:cnfStyle w:val="000000100000" w:firstRow="0" w:lastRow="0" w:firstColumn="0" w:lastColumn="0" w:oddVBand="0" w:evenVBand="0" w:oddHBand="1" w:evenHBand="0" w:firstRowFirstColumn="0" w:firstRowLastColumn="0" w:lastRowFirstColumn="0" w:lastRowLastColumn="0"/>
            </w:pPr>
          </w:p>
        </w:tc>
        <w:tc>
          <w:tcPr>
            <w:tcW w:w="1514" w:type="pct"/>
            <w:vMerge/>
          </w:tcPr>
          <w:p w14:paraId="6E297F54" w14:textId="788B8343" w:rsidR="006E4E64" w:rsidRDefault="006E4E64" w:rsidP="005D547A">
            <w:pPr>
              <w:cnfStyle w:val="000000100000" w:firstRow="0" w:lastRow="0" w:firstColumn="0" w:lastColumn="0" w:oddVBand="0" w:evenVBand="0" w:oddHBand="1" w:evenHBand="0" w:firstRowFirstColumn="0" w:firstRowLastColumn="0" w:lastRowFirstColumn="0" w:lastRowLastColumn="0"/>
            </w:pPr>
          </w:p>
        </w:tc>
      </w:tr>
      <w:tr w:rsidR="006E4E64" w:rsidRPr="00413135" w14:paraId="25F2EDB7" w14:textId="77777777" w:rsidTr="00ED2B4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74BA5177" w14:textId="7B7C3ED8" w:rsidR="006E4E64" w:rsidRPr="004F54DB" w:rsidRDefault="006E4E64" w:rsidP="005D547A">
            <w:pPr>
              <w:rPr>
                <w:b/>
                <w:bCs/>
              </w:rPr>
            </w:pPr>
            <w:r w:rsidRPr="004F54DB">
              <w:rPr>
                <w:b/>
                <w:bCs/>
              </w:rPr>
              <w:t>Kerosene</w:t>
            </w:r>
          </w:p>
        </w:tc>
        <w:tc>
          <w:tcPr>
            <w:tcW w:w="1582" w:type="pct"/>
            <w:vMerge/>
          </w:tcPr>
          <w:p w14:paraId="2AD443EF" w14:textId="0CDFE85D" w:rsidR="006E4E64" w:rsidRPr="00413135" w:rsidRDefault="006E4E64" w:rsidP="005D547A">
            <w:pPr>
              <w:cnfStyle w:val="000000010000" w:firstRow="0" w:lastRow="0" w:firstColumn="0" w:lastColumn="0" w:oddVBand="0" w:evenVBand="0" w:oddHBand="0" w:evenHBand="1" w:firstRowFirstColumn="0" w:firstRowLastColumn="0" w:lastRowFirstColumn="0" w:lastRowLastColumn="0"/>
            </w:pPr>
          </w:p>
        </w:tc>
        <w:tc>
          <w:tcPr>
            <w:tcW w:w="1514" w:type="pct"/>
            <w:vMerge/>
          </w:tcPr>
          <w:p w14:paraId="2C3EEB7C" w14:textId="49C85D69" w:rsidR="006E4E64" w:rsidRDefault="006E4E64" w:rsidP="005D547A">
            <w:pPr>
              <w:cnfStyle w:val="000000010000" w:firstRow="0" w:lastRow="0" w:firstColumn="0" w:lastColumn="0" w:oddVBand="0" w:evenVBand="0" w:oddHBand="0" w:evenHBand="1" w:firstRowFirstColumn="0" w:firstRowLastColumn="0" w:lastRowFirstColumn="0" w:lastRowLastColumn="0"/>
            </w:pPr>
          </w:p>
        </w:tc>
      </w:tr>
      <w:tr w:rsidR="006E4E64" w:rsidRPr="00413135" w14:paraId="4EFB6D52" w14:textId="77777777" w:rsidTr="00ED2B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50A935AC" w14:textId="6DEE437E" w:rsidR="006E4E64" w:rsidRPr="004F54DB" w:rsidRDefault="006E4E64" w:rsidP="005D547A">
            <w:pPr>
              <w:rPr>
                <w:b/>
                <w:bCs/>
              </w:rPr>
            </w:pPr>
            <w:r w:rsidRPr="004F54DB">
              <w:rPr>
                <w:b/>
                <w:bCs/>
              </w:rPr>
              <w:t>Coal</w:t>
            </w:r>
          </w:p>
        </w:tc>
        <w:tc>
          <w:tcPr>
            <w:tcW w:w="1582" w:type="pct"/>
            <w:vMerge/>
          </w:tcPr>
          <w:p w14:paraId="067CDC88" w14:textId="0168B9C6" w:rsidR="006E4E64" w:rsidRPr="00413135" w:rsidRDefault="006E4E64" w:rsidP="005D547A">
            <w:pPr>
              <w:cnfStyle w:val="000000100000" w:firstRow="0" w:lastRow="0" w:firstColumn="0" w:lastColumn="0" w:oddVBand="0" w:evenVBand="0" w:oddHBand="1" w:evenHBand="0" w:firstRowFirstColumn="0" w:firstRowLastColumn="0" w:lastRowFirstColumn="0" w:lastRowLastColumn="0"/>
            </w:pPr>
          </w:p>
        </w:tc>
        <w:tc>
          <w:tcPr>
            <w:tcW w:w="1514" w:type="pct"/>
            <w:vMerge/>
          </w:tcPr>
          <w:p w14:paraId="7F250719" w14:textId="5D4A2C47" w:rsidR="006E4E64" w:rsidRDefault="006E4E64" w:rsidP="005D547A">
            <w:pPr>
              <w:cnfStyle w:val="000000100000" w:firstRow="0" w:lastRow="0" w:firstColumn="0" w:lastColumn="0" w:oddVBand="0" w:evenVBand="0" w:oddHBand="1" w:evenHBand="0" w:firstRowFirstColumn="0" w:firstRowLastColumn="0" w:lastRowFirstColumn="0" w:lastRowLastColumn="0"/>
            </w:pPr>
          </w:p>
        </w:tc>
      </w:tr>
      <w:tr w:rsidR="006E4E64" w:rsidRPr="00413135" w14:paraId="228748B0" w14:textId="77777777" w:rsidTr="00ED2B4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7E60541A" w14:textId="68A03C7F" w:rsidR="006E4E64" w:rsidRPr="004F54DB" w:rsidRDefault="006E4E64" w:rsidP="006E4E64">
            <w:pPr>
              <w:rPr>
                <w:b/>
                <w:bCs/>
              </w:rPr>
            </w:pPr>
            <w:r w:rsidRPr="004F54DB">
              <w:rPr>
                <w:b/>
                <w:bCs/>
              </w:rPr>
              <w:t xml:space="preserve">Hydrogen </w:t>
            </w:r>
            <w:r w:rsidRPr="004F54DB">
              <w:t>from steam methane reforming (SMR)</w:t>
            </w:r>
          </w:p>
        </w:tc>
        <w:tc>
          <w:tcPr>
            <w:tcW w:w="1582" w:type="pct"/>
            <w:vMerge w:val="restart"/>
          </w:tcPr>
          <w:p w14:paraId="50875EDB" w14:textId="060F2D76" w:rsidR="006E4E64" w:rsidRPr="00413135" w:rsidRDefault="006E4E64" w:rsidP="0025719A">
            <w:pPr>
              <w:pStyle w:val="TableBullet"/>
              <w:cnfStyle w:val="000000010000" w:firstRow="0" w:lastRow="0" w:firstColumn="0" w:lastColumn="0" w:oddVBand="0" w:evenVBand="0" w:oddHBand="0" w:evenHBand="1" w:firstRowFirstColumn="0" w:firstRowLastColumn="0" w:lastRowFirstColumn="0" w:lastRowLastColumn="0"/>
            </w:pPr>
            <w:r>
              <w:t>Opinion Dynamics analysis using GREET1 2023</w:t>
            </w:r>
            <w:r w:rsidR="004F1E7A">
              <w:t>rev1</w:t>
            </w:r>
          </w:p>
        </w:tc>
        <w:tc>
          <w:tcPr>
            <w:tcW w:w="1514" w:type="pct"/>
            <w:vMerge w:val="restart"/>
          </w:tcPr>
          <w:p w14:paraId="744EE9AC" w14:textId="1ECF2A3F" w:rsidR="006E4E64" w:rsidRDefault="006E4E64" w:rsidP="006E4E64">
            <w:pPr>
              <w:pStyle w:val="TableBullet"/>
              <w:cnfStyle w:val="000000010000" w:firstRow="0" w:lastRow="0" w:firstColumn="0" w:lastColumn="0" w:oddVBand="0" w:evenVBand="0" w:oddHBand="0" w:evenHBand="1" w:firstRowFirstColumn="0" w:firstRowLastColumn="0" w:lastRowFirstColumn="0" w:lastRowLastColumn="0"/>
            </w:pPr>
            <w:r>
              <w:t>No CO</w:t>
            </w:r>
            <w:r>
              <w:rPr>
                <w:vertAlign w:val="subscript"/>
              </w:rPr>
              <w:t>2</w:t>
            </w:r>
            <w:r w:rsidRPr="006E4E64">
              <w:t>,</w:t>
            </w:r>
            <w:r>
              <w:rPr>
                <w:vertAlign w:val="subscript"/>
              </w:rPr>
              <w:t xml:space="preserve"> </w:t>
            </w:r>
            <w:r>
              <w:t>CH</w:t>
            </w:r>
            <w:r>
              <w:rPr>
                <w:vertAlign w:val="subscript"/>
              </w:rPr>
              <w:t>4</w:t>
            </w:r>
            <w:r w:rsidRPr="006E4E64">
              <w:t>,</w:t>
            </w:r>
            <w:r>
              <w:rPr>
                <w:vertAlign w:val="subscript"/>
              </w:rPr>
              <w:t xml:space="preserve"> </w:t>
            </w:r>
            <w:r>
              <w:t>or N</w:t>
            </w:r>
            <w:r>
              <w:rPr>
                <w:vertAlign w:val="subscript"/>
              </w:rPr>
              <w:t>2</w:t>
            </w:r>
            <w:r>
              <w:t>O combustion emissions</w:t>
            </w:r>
          </w:p>
        </w:tc>
      </w:tr>
      <w:tr w:rsidR="006E4E64" w:rsidRPr="00413135" w14:paraId="627B2853" w14:textId="77777777" w:rsidTr="00ED2B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39C2EEFC" w14:textId="5FD2B7EE" w:rsidR="006E4E64" w:rsidRPr="004F54DB" w:rsidRDefault="006E4E64" w:rsidP="001324CD">
            <w:pPr>
              <w:rPr>
                <w:b/>
                <w:bCs/>
              </w:rPr>
            </w:pPr>
            <w:r w:rsidRPr="001324CD">
              <w:rPr>
                <w:b/>
                <w:bCs/>
              </w:rPr>
              <w:t>Hydrogen</w:t>
            </w:r>
            <w:r w:rsidRPr="001324CD">
              <w:t xml:space="preserve"> from dedicated renewables</w:t>
            </w:r>
          </w:p>
        </w:tc>
        <w:tc>
          <w:tcPr>
            <w:tcW w:w="1582" w:type="pct"/>
            <w:vMerge/>
          </w:tcPr>
          <w:p w14:paraId="0656F98A" w14:textId="4F29EC41" w:rsidR="006E4E64" w:rsidRDefault="006E4E64" w:rsidP="001324CD">
            <w:pPr>
              <w:cnfStyle w:val="000000100000" w:firstRow="0" w:lastRow="0" w:firstColumn="0" w:lastColumn="0" w:oddVBand="0" w:evenVBand="0" w:oddHBand="1" w:evenHBand="0" w:firstRowFirstColumn="0" w:firstRowLastColumn="0" w:lastRowFirstColumn="0" w:lastRowLastColumn="0"/>
            </w:pPr>
          </w:p>
        </w:tc>
        <w:tc>
          <w:tcPr>
            <w:tcW w:w="1514" w:type="pct"/>
            <w:vMerge/>
          </w:tcPr>
          <w:p w14:paraId="51AFDB41" w14:textId="23DF8431" w:rsidR="006E4E64" w:rsidRDefault="006E4E64" w:rsidP="001324CD">
            <w:pPr>
              <w:cnfStyle w:val="000000100000" w:firstRow="0" w:lastRow="0" w:firstColumn="0" w:lastColumn="0" w:oddVBand="0" w:evenVBand="0" w:oddHBand="1" w:evenHBand="0" w:firstRowFirstColumn="0" w:firstRowLastColumn="0" w:lastRowFirstColumn="0" w:lastRowLastColumn="0"/>
            </w:pPr>
          </w:p>
        </w:tc>
      </w:tr>
      <w:tr w:rsidR="006E4E64" w:rsidRPr="00413135" w14:paraId="6F217A4E" w14:textId="77777777" w:rsidTr="00ED2B4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672154F3" w14:textId="3CEEC783" w:rsidR="006E4E64" w:rsidRPr="004F54DB" w:rsidRDefault="006E4E64" w:rsidP="006E4E64">
            <w:pPr>
              <w:rPr>
                <w:b/>
                <w:bCs/>
              </w:rPr>
            </w:pPr>
            <w:r w:rsidRPr="004F54DB">
              <w:rPr>
                <w:b/>
                <w:bCs/>
              </w:rPr>
              <w:t>Biomethane</w:t>
            </w:r>
            <w:r w:rsidRPr="004F54DB">
              <w:t xml:space="preserve"> from animal </w:t>
            </w:r>
            <w:r w:rsidR="009A23D2">
              <w:t>waste</w:t>
            </w:r>
          </w:p>
        </w:tc>
        <w:tc>
          <w:tcPr>
            <w:tcW w:w="1582" w:type="pct"/>
            <w:vMerge w:val="restart"/>
          </w:tcPr>
          <w:p w14:paraId="04C4D635" w14:textId="7FAEB3E4" w:rsidR="006E4E64" w:rsidRPr="00413135" w:rsidRDefault="006E4E64" w:rsidP="0025719A">
            <w:pPr>
              <w:pStyle w:val="TableBullet"/>
              <w:cnfStyle w:val="000000010000" w:firstRow="0" w:lastRow="0" w:firstColumn="0" w:lastColumn="0" w:oddVBand="0" w:evenVBand="0" w:oddHBand="0" w:evenHBand="1" w:firstRowFirstColumn="0" w:firstRowLastColumn="0" w:lastRowFirstColumn="0" w:lastRowLastColumn="0"/>
            </w:pPr>
            <w:r>
              <w:t>Opinion Dynamics analysis using GREET1 2023</w:t>
            </w:r>
            <w:r w:rsidR="004F1E7A">
              <w:t>rev1</w:t>
            </w:r>
          </w:p>
        </w:tc>
        <w:tc>
          <w:tcPr>
            <w:tcW w:w="1514" w:type="pct"/>
            <w:vMerge w:val="restart"/>
          </w:tcPr>
          <w:p w14:paraId="7808D1D1" w14:textId="34C7A6B3" w:rsidR="006E4E64" w:rsidRDefault="006E4E64" w:rsidP="006E4E64">
            <w:pPr>
              <w:pStyle w:val="TableBullet"/>
              <w:cnfStyle w:val="000000010000" w:firstRow="0" w:lastRow="0" w:firstColumn="0" w:lastColumn="0" w:oddVBand="0" w:evenVBand="0" w:oddHBand="0" w:evenHBand="1" w:firstRowFirstColumn="0" w:firstRowLastColumn="0" w:lastRowFirstColumn="0" w:lastRowLastColumn="0"/>
            </w:pPr>
            <w:r>
              <w:t>CH</w:t>
            </w:r>
            <w:r>
              <w:rPr>
                <w:vertAlign w:val="subscript"/>
              </w:rPr>
              <w:t xml:space="preserve">4 </w:t>
            </w:r>
            <w:r>
              <w:t>and N</w:t>
            </w:r>
            <w:r>
              <w:rPr>
                <w:vertAlign w:val="subscript"/>
              </w:rPr>
              <w:t>2</w:t>
            </w:r>
            <w:r>
              <w:t xml:space="preserve">O combustion emissions accounted for using emissions </w:t>
            </w:r>
            <w:r w:rsidR="00C6101B">
              <w:t>rates</w:t>
            </w:r>
            <w:r>
              <w:t xml:space="preserve"> from </w:t>
            </w:r>
            <w:r w:rsidRPr="005D547A">
              <w:t>U.S. EPA Emission Factors Hub</w:t>
            </w:r>
          </w:p>
          <w:p w14:paraId="0E5A6043" w14:textId="74FEFDFA" w:rsidR="006E4E64" w:rsidRPr="005D547A" w:rsidRDefault="006E4E64" w:rsidP="006E4E64">
            <w:pPr>
              <w:pStyle w:val="TableBullet"/>
              <w:cnfStyle w:val="000000010000" w:firstRow="0" w:lastRow="0" w:firstColumn="0" w:lastColumn="0" w:oddVBand="0" w:evenVBand="0" w:oddHBand="0" w:evenHBand="1" w:firstRowFirstColumn="0" w:firstRowLastColumn="0" w:lastRowFirstColumn="0" w:lastRowLastColumn="0"/>
            </w:pPr>
            <w:r w:rsidRPr="00E86632">
              <w:t>CO</w:t>
            </w:r>
            <w:r w:rsidRPr="00E86632">
              <w:rPr>
                <w:vertAlign w:val="subscript"/>
              </w:rPr>
              <w:t>2</w:t>
            </w:r>
            <w:r w:rsidRPr="00E86632">
              <w:t xml:space="preserve"> emissions </w:t>
            </w:r>
            <w:r w:rsidR="004F1E7A" w:rsidRPr="00E86632">
              <w:t xml:space="preserve">are </w:t>
            </w:r>
            <w:r w:rsidRPr="00E86632">
              <w:t xml:space="preserve">considered biogenic </w:t>
            </w:r>
            <w:r w:rsidR="004F1E7A" w:rsidRPr="00E86632">
              <w:t>and are considered zero</w:t>
            </w:r>
          </w:p>
        </w:tc>
      </w:tr>
      <w:tr w:rsidR="006E4E64" w:rsidRPr="00413135" w14:paraId="03A46EA5" w14:textId="77777777" w:rsidTr="00ED2B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3887DFC9" w14:textId="06C59BA0" w:rsidR="006E4E64" w:rsidRPr="004F54DB" w:rsidRDefault="006E4E64" w:rsidP="004F54DB">
            <w:pPr>
              <w:rPr>
                <w:b/>
                <w:bCs/>
              </w:rPr>
            </w:pPr>
            <w:r w:rsidRPr="004F54DB">
              <w:rPr>
                <w:b/>
                <w:bCs/>
              </w:rPr>
              <w:t xml:space="preserve">Biomethane </w:t>
            </w:r>
            <w:r w:rsidRPr="004F54DB">
              <w:t>from landfill gas</w:t>
            </w:r>
          </w:p>
        </w:tc>
        <w:tc>
          <w:tcPr>
            <w:tcW w:w="1582" w:type="pct"/>
            <w:vMerge/>
          </w:tcPr>
          <w:p w14:paraId="4FA0F2DE" w14:textId="6F0D47A2" w:rsidR="006E4E64" w:rsidRPr="00413135" w:rsidRDefault="006E4E64" w:rsidP="004F54DB">
            <w:pPr>
              <w:cnfStyle w:val="000000100000" w:firstRow="0" w:lastRow="0" w:firstColumn="0" w:lastColumn="0" w:oddVBand="0" w:evenVBand="0" w:oddHBand="1" w:evenHBand="0" w:firstRowFirstColumn="0" w:firstRowLastColumn="0" w:lastRowFirstColumn="0" w:lastRowLastColumn="0"/>
            </w:pPr>
          </w:p>
        </w:tc>
        <w:tc>
          <w:tcPr>
            <w:tcW w:w="1514" w:type="pct"/>
            <w:vMerge/>
          </w:tcPr>
          <w:p w14:paraId="6C92081C" w14:textId="77777777" w:rsidR="006E4E64" w:rsidRDefault="006E4E64" w:rsidP="004F54DB">
            <w:pPr>
              <w:cnfStyle w:val="000000100000" w:firstRow="0" w:lastRow="0" w:firstColumn="0" w:lastColumn="0" w:oddVBand="0" w:evenVBand="0" w:oddHBand="1" w:evenHBand="0" w:firstRowFirstColumn="0" w:firstRowLastColumn="0" w:lastRowFirstColumn="0" w:lastRowLastColumn="0"/>
            </w:pPr>
          </w:p>
        </w:tc>
      </w:tr>
      <w:tr w:rsidR="006E4E64" w:rsidRPr="00413135" w14:paraId="1F317D89" w14:textId="77777777" w:rsidTr="00ED2B4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3D16CBF9" w14:textId="65EFEA3E" w:rsidR="006E4E64" w:rsidRPr="004F54DB" w:rsidRDefault="006E4E64" w:rsidP="004F54DB">
            <w:pPr>
              <w:rPr>
                <w:b/>
                <w:bCs/>
              </w:rPr>
            </w:pPr>
            <w:r w:rsidRPr="004F54DB">
              <w:rPr>
                <w:b/>
                <w:bCs/>
              </w:rPr>
              <w:t xml:space="preserve">Biomethane </w:t>
            </w:r>
            <w:r w:rsidRPr="004F54DB">
              <w:t xml:space="preserve">from fats, oils, and </w:t>
            </w:r>
            <w:proofErr w:type="spellStart"/>
            <w:r w:rsidRPr="004F54DB">
              <w:t>greases</w:t>
            </w:r>
            <w:r w:rsidRPr="004F54DB">
              <w:rPr>
                <w:vertAlign w:val="superscript"/>
              </w:rPr>
              <w:t>a</w:t>
            </w:r>
            <w:proofErr w:type="spellEnd"/>
          </w:p>
        </w:tc>
        <w:tc>
          <w:tcPr>
            <w:tcW w:w="1582" w:type="pct"/>
            <w:vMerge/>
          </w:tcPr>
          <w:p w14:paraId="2E9BEA92" w14:textId="548AD65C" w:rsidR="006E4E64" w:rsidRPr="00413135" w:rsidRDefault="006E4E64" w:rsidP="004F54DB">
            <w:pPr>
              <w:cnfStyle w:val="000000010000" w:firstRow="0" w:lastRow="0" w:firstColumn="0" w:lastColumn="0" w:oddVBand="0" w:evenVBand="0" w:oddHBand="0" w:evenHBand="1" w:firstRowFirstColumn="0" w:firstRowLastColumn="0" w:lastRowFirstColumn="0" w:lastRowLastColumn="0"/>
            </w:pPr>
          </w:p>
        </w:tc>
        <w:tc>
          <w:tcPr>
            <w:tcW w:w="1514" w:type="pct"/>
            <w:vMerge/>
          </w:tcPr>
          <w:p w14:paraId="2E82B816" w14:textId="77777777" w:rsidR="006E4E64" w:rsidRDefault="006E4E64" w:rsidP="004F54DB">
            <w:pPr>
              <w:cnfStyle w:val="000000010000" w:firstRow="0" w:lastRow="0" w:firstColumn="0" w:lastColumn="0" w:oddVBand="0" w:evenVBand="0" w:oddHBand="0" w:evenHBand="1" w:firstRowFirstColumn="0" w:firstRowLastColumn="0" w:lastRowFirstColumn="0" w:lastRowLastColumn="0"/>
            </w:pPr>
          </w:p>
        </w:tc>
      </w:tr>
      <w:tr w:rsidR="006E4E64" w:rsidRPr="00413135" w14:paraId="32934387" w14:textId="77777777" w:rsidTr="00ED2B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2ECA40C5" w14:textId="3FFA314D" w:rsidR="006E4E64" w:rsidRPr="004F54DB" w:rsidRDefault="006E4E64" w:rsidP="004F54DB">
            <w:pPr>
              <w:rPr>
                <w:b/>
                <w:bCs/>
              </w:rPr>
            </w:pPr>
            <w:r w:rsidRPr="004F54DB">
              <w:rPr>
                <w:b/>
                <w:bCs/>
              </w:rPr>
              <w:t xml:space="preserve">Biomethane </w:t>
            </w:r>
            <w:r w:rsidRPr="004F54DB">
              <w:t>from wastewater</w:t>
            </w:r>
          </w:p>
        </w:tc>
        <w:tc>
          <w:tcPr>
            <w:tcW w:w="1582" w:type="pct"/>
            <w:vMerge/>
          </w:tcPr>
          <w:p w14:paraId="202391B2" w14:textId="410634E8" w:rsidR="006E4E64" w:rsidRPr="00413135" w:rsidRDefault="006E4E64" w:rsidP="004F54DB">
            <w:pPr>
              <w:cnfStyle w:val="000000100000" w:firstRow="0" w:lastRow="0" w:firstColumn="0" w:lastColumn="0" w:oddVBand="0" w:evenVBand="0" w:oddHBand="1" w:evenHBand="0" w:firstRowFirstColumn="0" w:firstRowLastColumn="0" w:lastRowFirstColumn="0" w:lastRowLastColumn="0"/>
            </w:pPr>
          </w:p>
        </w:tc>
        <w:tc>
          <w:tcPr>
            <w:tcW w:w="1514" w:type="pct"/>
            <w:vMerge/>
          </w:tcPr>
          <w:p w14:paraId="0F99221F" w14:textId="77777777" w:rsidR="006E4E64" w:rsidRDefault="006E4E64" w:rsidP="004F54DB">
            <w:pPr>
              <w:cnfStyle w:val="000000100000" w:firstRow="0" w:lastRow="0" w:firstColumn="0" w:lastColumn="0" w:oddVBand="0" w:evenVBand="0" w:oddHBand="1" w:evenHBand="0" w:firstRowFirstColumn="0" w:firstRowLastColumn="0" w:lastRowFirstColumn="0" w:lastRowLastColumn="0"/>
            </w:pPr>
          </w:p>
        </w:tc>
      </w:tr>
      <w:tr w:rsidR="006E4E64" w:rsidRPr="00413135" w14:paraId="423DC958" w14:textId="77777777" w:rsidTr="00ED2B4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6063979B" w14:textId="7C423C92" w:rsidR="006E4E64" w:rsidRPr="004F54DB" w:rsidRDefault="006E4E64" w:rsidP="004F54DB">
            <w:pPr>
              <w:rPr>
                <w:b/>
                <w:bCs/>
              </w:rPr>
            </w:pPr>
            <w:r w:rsidRPr="004F54DB">
              <w:rPr>
                <w:b/>
                <w:bCs/>
              </w:rPr>
              <w:t xml:space="preserve">Biodiesel </w:t>
            </w:r>
            <w:r w:rsidRPr="004F54DB">
              <w:t>from soybeans </w:t>
            </w:r>
          </w:p>
        </w:tc>
        <w:tc>
          <w:tcPr>
            <w:tcW w:w="1582" w:type="pct"/>
            <w:vMerge/>
          </w:tcPr>
          <w:p w14:paraId="67BC0EC5" w14:textId="24F93312" w:rsidR="006E4E64" w:rsidRPr="00413135" w:rsidRDefault="006E4E64" w:rsidP="004F54DB">
            <w:pPr>
              <w:cnfStyle w:val="000000010000" w:firstRow="0" w:lastRow="0" w:firstColumn="0" w:lastColumn="0" w:oddVBand="0" w:evenVBand="0" w:oddHBand="0" w:evenHBand="1" w:firstRowFirstColumn="0" w:firstRowLastColumn="0" w:lastRowFirstColumn="0" w:lastRowLastColumn="0"/>
            </w:pPr>
          </w:p>
        </w:tc>
        <w:tc>
          <w:tcPr>
            <w:tcW w:w="1514" w:type="pct"/>
            <w:vMerge/>
          </w:tcPr>
          <w:p w14:paraId="348F76E8" w14:textId="77777777" w:rsidR="006E4E64" w:rsidRDefault="006E4E64" w:rsidP="004F54DB">
            <w:pPr>
              <w:cnfStyle w:val="000000010000" w:firstRow="0" w:lastRow="0" w:firstColumn="0" w:lastColumn="0" w:oddVBand="0" w:evenVBand="0" w:oddHBand="0" w:evenHBand="1" w:firstRowFirstColumn="0" w:firstRowLastColumn="0" w:lastRowFirstColumn="0" w:lastRowLastColumn="0"/>
            </w:pPr>
          </w:p>
        </w:tc>
      </w:tr>
      <w:tr w:rsidR="006E4E64" w:rsidRPr="00413135" w14:paraId="2BFCE855" w14:textId="77777777" w:rsidTr="00ED2B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1DEBF026" w14:textId="141AB8EF" w:rsidR="006E4E64" w:rsidRPr="004F54DB" w:rsidRDefault="006E4E64" w:rsidP="004F54DB">
            <w:pPr>
              <w:rPr>
                <w:b/>
                <w:bCs/>
              </w:rPr>
            </w:pPr>
            <w:r w:rsidRPr="004F54DB">
              <w:rPr>
                <w:b/>
                <w:bCs/>
              </w:rPr>
              <w:t xml:space="preserve">Biodiesel </w:t>
            </w:r>
            <w:r w:rsidRPr="004F54DB">
              <w:t>from canola</w:t>
            </w:r>
          </w:p>
        </w:tc>
        <w:tc>
          <w:tcPr>
            <w:tcW w:w="1582" w:type="pct"/>
            <w:vMerge/>
          </w:tcPr>
          <w:p w14:paraId="7F68ADDA" w14:textId="02818DB4" w:rsidR="006E4E64" w:rsidRPr="00413135" w:rsidRDefault="006E4E64" w:rsidP="004F54DB">
            <w:pPr>
              <w:cnfStyle w:val="000000100000" w:firstRow="0" w:lastRow="0" w:firstColumn="0" w:lastColumn="0" w:oddVBand="0" w:evenVBand="0" w:oddHBand="1" w:evenHBand="0" w:firstRowFirstColumn="0" w:firstRowLastColumn="0" w:lastRowFirstColumn="0" w:lastRowLastColumn="0"/>
            </w:pPr>
          </w:p>
        </w:tc>
        <w:tc>
          <w:tcPr>
            <w:tcW w:w="1514" w:type="pct"/>
            <w:vMerge/>
          </w:tcPr>
          <w:p w14:paraId="6DE29268" w14:textId="77777777" w:rsidR="006E4E64" w:rsidRDefault="006E4E64" w:rsidP="004F54DB">
            <w:pPr>
              <w:cnfStyle w:val="000000100000" w:firstRow="0" w:lastRow="0" w:firstColumn="0" w:lastColumn="0" w:oddVBand="0" w:evenVBand="0" w:oddHBand="1" w:evenHBand="0" w:firstRowFirstColumn="0" w:firstRowLastColumn="0" w:lastRowFirstColumn="0" w:lastRowLastColumn="0"/>
            </w:pPr>
          </w:p>
        </w:tc>
      </w:tr>
      <w:tr w:rsidR="006E4E64" w:rsidRPr="00413135" w14:paraId="4E257ECC" w14:textId="77777777" w:rsidTr="00ED2B4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7219EADE" w14:textId="60356118" w:rsidR="006E4E64" w:rsidRPr="004F54DB" w:rsidRDefault="006E4E64" w:rsidP="004F54DB">
            <w:pPr>
              <w:rPr>
                <w:b/>
                <w:bCs/>
              </w:rPr>
            </w:pPr>
            <w:r w:rsidRPr="004F54DB">
              <w:rPr>
                <w:b/>
                <w:bCs/>
              </w:rPr>
              <w:t xml:space="preserve">Biodiesel </w:t>
            </w:r>
            <w:r w:rsidRPr="004F54DB">
              <w:t>from corn</w:t>
            </w:r>
          </w:p>
        </w:tc>
        <w:tc>
          <w:tcPr>
            <w:tcW w:w="1582" w:type="pct"/>
            <w:vMerge/>
          </w:tcPr>
          <w:p w14:paraId="67542F8C" w14:textId="22E311BF" w:rsidR="006E4E64" w:rsidRPr="00413135" w:rsidRDefault="006E4E64" w:rsidP="004F54DB">
            <w:pPr>
              <w:cnfStyle w:val="000000010000" w:firstRow="0" w:lastRow="0" w:firstColumn="0" w:lastColumn="0" w:oddVBand="0" w:evenVBand="0" w:oddHBand="0" w:evenHBand="1" w:firstRowFirstColumn="0" w:firstRowLastColumn="0" w:lastRowFirstColumn="0" w:lastRowLastColumn="0"/>
            </w:pPr>
          </w:p>
        </w:tc>
        <w:tc>
          <w:tcPr>
            <w:tcW w:w="1514" w:type="pct"/>
            <w:vMerge/>
          </w:tcPr>
          <w:p w14:paraId="23B0F317" w14:textId="77777777" w:rsidR="006E4E64" w:rsidRDefault="006E4E64" w:rsidP="004F54DB">
            <w:pPr>
              <w:cnfStyle w:val="000000010000" w:firstRow="0" w:lastRow="0" w:firstColumn="0" w:lastColumn="0" w:oddVBand="0" w:evenVBand="0" w:oddHBand="0" w:evenHBand="1" w:firstRowFirstColumn="0" w:firstRowLastColumn="0" w:lastRowFirstColumn="0" w:lastRowLastColumn="0"/>
            </w:pPr>
          </w:p>
        </w:tc>
      </w:tr>
      <w:tr w:rsidR="006E4E64" w:rsidRPr="00413135" w14:paraId="70622B22" w14:textId="77777777" w:rsidTr="00ED2B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045C9DD5" w14:textId="3266ABCF" w:rsidR="006E4E64" w:rsidRPr="00E86632" w:rsidRDefault="006E4E64" w:rsidP="004F54DB">
            <w:pPr>
              <w:rPr>
                <w:highlight w:val="magenta"/>
                <w:vertAlign w:val="superscript"/>
              </w:rPr>
            </w:pPr>
            <w:r w:rsidRPr="00E86632">
              <w:rPr>
                <w:b/>
                <w:bCs/>
              </w:rPr>
              <w:t xml:space="preserve">Biodiesel </w:t>
            </w:r>
            <w:r w:rsidRPr="00E86632">
              <w:t xml:space="preserve">from </w:t>
            </w:r>
            <w:r w:rsidR="00E86632" w:rsidRPr="00E86632">
              <w:t xml:space="preserve">used cooking </w:t>
            </w:r>
            <w:proofErr w:type="spellStart"/>
            <w:r w:rsidR="00E86632" w:rsidRPr="00E86632">
              <w:t>oil</w:t>
            </w:r>
            <w:r w:rsidR="0025719A" w:rsidRPr="00E86632">
              <w:rPr>
                <w:vertAlign w:val="superscript"/>
              </w:rPr>
              <w:t>a</w:t>
            </w:r>
            <w:proofErr w:type="spellEnd"/>
          </w:p>
        </w:tc>
        <w:tc>
          <w:tcPr>
            <w:tcW w:w="1582" w:type="pct"/>
            <w:vMerge/>
          </w:tcPr>
          <w:p w14:paraId="701FB9AF" w14:textId="2A972F4C" w:rsidR="006E4E64" w:rsidRPr="00413135" w:rsidRDefault="006E4E64" w:rsidP="004F54DB">
            <w:pPr>
              <w:cnfStyle w:val="000000100000" w:firstRow="0" w:lastRow="0" w:firstColumn="0" w:lastColumn="0" w:oddVBand="0" w:evenVBand="0" w:oddHBand="1" w:evenHBand="0" w:firstRowFirstColumn="0" w:firstRowLastColumn="0" w:lastRowFirstColumn="0" w:lastRowLastColumn="0"/>
            </w:pPr>
          </w:p>
        </w:tc>
        <w:tc>
          <w:tcPr>
            <w:tcW w:w="1514" w:type="pct"/>
            <w:vMerge/>
          </w:tcPr>
          <w:p w14:paraId="0C236F74" w14:textId="77777777" w:rsidR="006E4E64" w:rsidRDefault="006E4E64" w:rsidP="004F54DB">
            <w:pPr>
              <w:cnfStyle w:val="000000100000" w:firstRow="0" w:lastRow="0" w:firstColumn="0" w:lastColumn="0" w:oddVBand="0" w:evenVBand="0" w:oddHBand="1" w:evenHBand="0" w:firstRowFirstColumn="0" w:firstRowLastColumn="0" w:lastRowFirstColumn="0" w:lastRowLastColumn="0"/>
            </w:pPr>
          </w:p>
        </w:tc>
      </w:tr>
      <w:tr w:rsidR="006E4E64" w:rsidRPr="00413135" w14:paraId="3B5DECFF" w14:textId="77777777" w:rsidTr="00ED2B4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4184EDD0" w14:textId="7CEC001A" w:rsidR="006E4E64" w:rsidRPr="004F54DB" w:rsidRDefault="006E4E64" w:rsidP="004F54DB">
            <w:pPr>
              <w:rPr>
                <w:b/>
                <w:bCs/>
              </w:rPr>
            </w:pPr>
            <w:r w:rsidRPr="004F54DB">
              <w:rPr>
                <w:b/>
                <w:bCs/>
              </w:rPr>
              <w:t>Renewable diesel</w:t>
            </w:r>
            <w:r w:rsidRPr="004F54DB">
              <w:t xml:space="preserve"> from soybeans</w:t>
            </w:r>
          </w:p>
        </w:tc>
        <w:tc>
          <w:tcPr>
            <w:tcW w:w="1582" w:type="pct"/>
            <w:vMerge/>
          </w:tcPr>
          <w:p w14:paraId="23A424C6" w14:textId="546E5ECB" w:rsidR="006E4E64" w:rsidRPr="00413135" w:rsidRDefault="006E4E64" w:rsidP="004F54DB">
            <w:pPr>
              <w:cnfStyle w:val="000000010000" w:firstRow="0" w:lastRow="0" w:firstColumn="0" w:lastColumn="0" w:oddVBand="0" w:evenVBand="0" w:oddHBand="0" w:evenHBand="1" w:firstRowFirstColumn="0" w:firstRowLastColumn="0" w:lastRowFirstColumn="0" w:lastRowLastColumn="0"/>
            </w:pPr>
          </w:p>
        </w:tc>
        <w:tc>
          <w:tcPr>
            <w:tcW w:w="1514" w:type="pct"/>
            <w:vMerge/>
          </w:tcPr>
          <w:p w14:paraId="6B237C18" w14:textId="77777777" w:rsidR="006E4E64" w:rsidRDefault="006E4E64" w:rsidP="004F54DB">
            <w:pPr>
              <w:cnfStyle w:val="000000010000" w:firstRow="0" w:lastRow="0" w:firstColumn="0" w:lastColumn="0" w:oddVBand="0" w:evenVBand="0" w:oddHBand="0" w:evenHBand="1" w:firstRowFirstColumn="0" w:firstRowLastColumn="0" w:lastRowFirstColumn="0" w:lastRowLastColumn="0"/>
            </w:pPr>
          </w:p>
        </w:tc>
      </w:tr>
      <w:tr w:rsidR="006E4E64" w:rsidRPr="00413135" w14:paraId="263DA1F2" w14:textId="77777777" w:rsidTr="00ED2B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5268CABC" w14:textId="04CCE4FA" w:rsidR="006E4E64" w:rsidRPr="004F54DB" w:rsidRDefault="006E4E64" w:rsidP="004F54DB">
            <w:pPr>
              <w:rPr>
                <w:b/>
                <w:bCs/>
              </w:rPr>
            </w:pPr>
            <w:r w:rsidRPr="004F54DB">
              <w:rPr>
                <w:b/>
                <w:bCs/>
              </w:rPr>
              <w:t>Renewable diesel</w:t>
            </w:r>
            <w:r w:rsidRPr="004F54DB">
              <w:t xml:space="preserve"> from canola</w:t>
            </w:r>
          </w:p>
        </w:tc>
        <w:tc>
          <w:tcPr>
            <w:tcW w:w="1582" w:type="pct"/>
            <w:vMerge/>
          </w:tcPr>
          <w:p w14:paraId="19366451" w14:textId="114F2381" w:rsidR="006E4E64" w:rsidRPr="00413135" w:rsidRDefault="006E4E64" w:rsidP="004F54DB">
            <w:pPr>
              <w:cnfStyle w:val="000000100000" w:firstRow="0" w:lastRow="0" w:firstColumn="0" w:lastColumn="0" w:oddVBand="0" w:evenVBand="0" w:oddHBand="1" w:evenHBand="0" w:firstRowFirstColumn="0" w:firstRowLastColumn="0" w:lastRowFirstColumn="0" w:lastRowLastColumn="0"/>
            </w:pPr>
          </w:p>
        </w:tc>
        <w:tc>
          <w:tcPr>
            <w:tcW w:w="1514" w:type="pct"/>
            <w:vMerge/>
          </w:tcPr>
          <w:p w14:paraId="56B33EFB" w14:textId="77777777" w:rsidR="006E4E64" w:rsidRDefault="006E4E64" w:rsidP="004F54DB">
            <w:pPr>
              <w:cnfStyle w:val="000000100000" w:firstRow="0" w:lastRow="0" w:firstColumn="0" w:lastColumn="0" w:oddVBand="0" w:evenVBand="0" w:oddHBand="1" w:evenHBand="0" w:firstRowFirstColumn="0" w:firstRowLastColumn="0" w:lastRowFirstColumn="0" w:lastRowLastColumn="0"/>
            </w:pPr>
          </w:p>
        </w:tc>
      </w:tr>
      <w:tr w:rsidR="006E4E64" w:rsidRPr="00413135" w14:paraId="61501D85" w14:textId="77777777" w:rsidTr="00ED2B4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5BE8D3D4" w14:textId="4379044A" w:rsidR="006E4E64" w:rsidRPr="004F54DB" w:rsidRDefault="006E4E64" w:rsidP="004F54DB">
            <w:pPr>
              <w:rPr>
                <w:b/>
                <w:bCs/>
              </w:rPr>
            </w:pPr>
            <w:r w:rsidRPr="004F54DB">
              <w:rPr>
                <w:b/>
                <w:bCs/>
              </w:rPr>
              <w:t xml:space="preserve">Renewable diesel </w:t>
            </w:r>
            <w:r w:rsidRPr="004F54DB">
              <w:t>from corn</w:t>
            </w:r>
          </w:p>
        </w:tc>
        <w:tc>
          <w:tcPr>
            <w:tcW w:w="1582" w:type="pct"/>
            <w:vMerge/>
          </w:tcPr>
          <w:p w14:paraId="0E13622E" w14:textId="36E0145B" w:rsidR="006E4E64" w:rsidRPr="00413135" w:rsidRDefault="006E4E64" w:rsidP="004F54DB">
            <w:pPr>
              <w:cnfStyle w:val="000000010000" w:firstRow="0" w:lastRow="0" w:firstColumn="0" w:lastColumn="0" w:oddVBand="0" w:evenVBand="0" w:oddHBand="0" w:evenHBand="1" w:firstRowFirstColumn="0" w:firstRowLastColumn="0" w:lastRowFirstColumn="0" w:lastRowLastColumn="0"/>
            </w:pPr>
          </w:p>
        </w:tc>
        <w:tc>
          <w:tcPr>
            <w:tcW w:w="1514" w:type="pct"/>
            <w:vMerge/>
          </w:tcPr>
          <w:p w14:paraId="18AA4359" w14:textId="77777777" w:rsidR="006E4E64" w:rsidRDefault="006E4E64" w:rsidP="004F54DB">
            <w:pPr>
              <w:cnfStyle w:val="000000010000" w:firstRow="0" w:lastRow="0" w:firstColumn="0" w:lastColumn="0" w:oddVBand="0" w:evenVBand="0" w:oddHBand="0" w:evenHBand="1" w:firstRowFirstColumn="0" w:firstRowLastColumn="0" w:lastRowFirstColumn="0" w:lastRowLastColumn="0"/>
            </w:pPr>
          </w:p>
        </w:tc>
      </w:tr>
      <w:tr w:rsidR="006E4E64" w:rsidRPr="00413135" w14:paraId="604ECD14" w14:textId="77777777" w:rsidTr="00ED2B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5736A039" w14:textId="77C25CF0" w:rsidR="006E4E64" w:rsidRPr="004F54DB" w:rsidRDefault="006E4E64" w:rsidP="004F54DB">
            <w:pPr>
              <w:rPr>
                <w:b/>
                <w:bCs/>
              </w:rPr>
            </w:pPr>
            <w:r w:rsidRPr="004F54DB">
              <w:rPr>
                <w:b/>
                <w:bCs/>
              </w:rPr>
              <w:t>Renewable diesel</w:t>
            </w:r>
            <w:r w:rsidRPr="004F54DB">
              <w:t xml:space="preserve"> from used cooking </w:t>
            </w:r>
            <w:proofErr w:type="spellStart"/>
            <w:r w:rsidRPr="004F54DB">
              <w:t>oil</w:t>
            </w:r>
            <w:r w:rsidR="0025719A">
              <w:rPr>
                <w:vertAlign w:val="superscript"/>
              </w:rPr>
              <w:t>a</w:t>
            </w:r>
            <w:proofErr w:type="spellEnd"/>
          </w:p>
        </w:tc>
        <w:tc>
          <w:tcPr>
            <w:tcW w:w="1582" w:type="pct"/>
            <w:vMerge/>
          </w:tcPr>
          <w:p w14:paraId="65AD8884" w14:textId="2A07A402" w:rsidR="006E4E64" w:rsidRPr="00413135" w:rsidRDefault="006E4E64" w:rsidP="004F54DB">
            <w:pPr>
              <w:cnfStyle w:val="000000100000" w:firstRow="0" w:lastRow="0" w:firstColumn="0" w:lastColumn="0" w:oddVBand="0" w:evenVBand="0" w:oddHBand="1" w:evenHBand="0" w:firstRowFirstColumn="0" w:firstRowLastColumn="0" w:lastRowFirstColumn="0" w:lastRowLastColumn="0"/>
            </w:pPr>
          </w:p>
        </w:tc>
        <w:tc>
          <w:tcPr>
            <w:tcW w:w="1514" w:type="pct"/>
            <w:vMerge/>
          </w:tcPr>
          <w:p w14:paraId="4D5B19AD" w14:textId="77777777" w:rsidR="006E4E64" w:rsidRDefault="006E4E64" w:rsidP="004F54DB">
            <w:pPr>
              <w:cnfStyle w:val="000000100000" w:firstRow="0" w:lastRow="0" w:firstColumn="0" w:lastColumn="0" w:oddVBand="0" w:evenVBand="0" w:oddHBand="1" w:evenHBand="0" w:firstRowFirstColumn="0" w:firstRowLastColumn="0" w:lastRowFirstColumn="0" w:lastRowLastColumn="0"/>
            </w:pPr>
          </w:p>
        </w:tc>
      </w:tr>
      <w:tr w:rsidR="004F54DB" w:rsidRPr="00413135" w14:paraId="048612A8" w14:textId="77777777" w:rsidTr="00ED2B4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Borders>
              <w:right w:val="nil"/>
            </w:tcBorders>
            <w:shd w:val="clear" w:color="auto" w:fill="1FA9E1" w:themeFill="accent3"/>
          </w:tcPr>
          <w:p w14:paraId="60029E31" w14:textId="4132CDDB" w:rsidR="004F54DB" w:rsidRPr="004F54DB" w:rsidRDefault="001324CD" w:rsidP="00365B31">
            <w:pPr>
              <w:keepNext/>
              <w:keepLines/>
              <w:rPr>
                <w:rFonts w:ascii="Franklin Gothic Medium" w:hAnsi="Franklin Gothic Medium"/>
                <w:color w:val="FFFFFF" w:themeColor="background1"/>
              </w:rPr>
            </w:pPr>
            <w:r>
              <w:rPr>
                <w:rFonts w:ascii="Franklin Gothic Medium" w:hAnsi="Franklin Gothic Medium"/>
                <w:color w:val="FFFFFF" w:themeColor="background1"/>
              </w:rPr>
              <w:lastRenderedPageBreak/>
              <w:t>Wood Fuels</w:t>
            </w:r>
          </w:p>
        </w:tc>
        <w:tc>
          <w:tcPr>
            <w:tcW w:w="1582" w:type="pct"/>
            <w:tcBorders>
              <w:left w:val="nil"/>
              <w:right w:val="nil"/>
            </w:tcBorders>
            <w:shd w:val="clear" w:color="auto" w:fill="1FA9E1" w:themeFill="accent3"/>
          </w:tcPr>
          <w:p w14:paraId="5F7BA3C7" w14:textId="77777777" w:rsidR="004F54DB" w:rsidRPr="004F54DB" w:rsidRDefault="004F54DB" w:rsidP="00365B31">
            <w:pPr>
              <w:keepNext/>
              <w:keepLines/>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1"/>
              </w:rPr>
            </w:pPr>
          </w:p>
        </w:tc>
        <w:tc>
          <w:tcPr>
            <w:tcW w:w="1514" w:type="pct"/>
            <w:tcBorders>
              <w:left w:val="nil"/>
            </w:tcBorders>
            <w:shd w:val="clear" w:color="auto" w:fill="1FA9E1" w:themeFill="accent3"/>
          </w:tcPr>
          <w:p w14:paraId="2546EB4D" w14:textId="77777777" w:rsidR="004F54DB" w:rsidRPr="004F54DB" w:rsidRDefault="004F54DB" w:rsidP="00365B31">
            <w:pPr>
              <w:keepNext/>
              <w:keepLines/>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1"/>
              </w:rPr>
            </w:pPr>
          </w:p>
        </w:tc>
      </w:tr>
      <w:tr w:rsidR="00ED2B49" w:rsidRPr="00413135" w14:paraId="4BA0C1CB" w14:textId="77777777" w:rsidTr="00ED2B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2D2981EB" w14:textId="326B7BB1" w:rsidR="00ED2B49" w:rsidRPr="001324CD" w:rsidRDefault="00ED2B49" w:rsidP="00365B31">
            <w:pPr>
              <w:keepNext/>
              <w:keepLines/>
              <w:rPr>
                <w:vertAlign w:val="superscript"/>
              </w:rPr>
            </w:pPr>
            <w:r w:rsidRPr="004F54DB">
              <w:rPr>
                <w:b/>
                <w:bCs/>
              </w:rPr>
              <w:t xml:space="preserve">Wood </w:t>
            </w:r>
            <w:r w:rsidRPr="004F54DB">
              <w:t>chips </w:t>
            </w:r>
          </w:p>
        </w:tc>
        <w:tc>
          <w:tcPr>
            <w:tcW w:w="1582" w:type="pct"/>
            <w:vMerge w:val="restart"/>
          </w:tcPr>
          <w:p w14:paraId="2C69EFB6" w14:textId="32613D4B" w:rsidR="00ED2B49" w:rsidRPr="00413135" w:rsidRDefault="00ED2B49" w:rsidP="00ED2B49">
            <w:pPr>
              <w:pStyle w:val="TableBullet"/>
              <w:cnfStyle w:val="000000100000" w:firstRow="0" w:lastRow="0" w:firstColumn="0" w:lastColumn="0" w:oddVBand="0" w:evenVBand="0" w:oddHBand="1" w:evenHBand="0" w:firstRowFirstColumn="0" w:firstRowLastColumn="0" w:lastRowFirstColumn="0" w:lastRowLastColumn="0"/>
            </w:pPr>
            <w:r>
              <w:t>Opinion Dynamics analysis using GREET1 2023rev1</w:t>
            </w:r>
          </w:p>
        </w:tc>
        <w:tc>
          <w:tcPr>
            <w:tcW w:w="1514" w:type="pct"/>
            <w:vMerge w:val="restart"/>
          </w:tcPr>
          <w:p w14:paraId="68ADE921" w14:textId="311A463D" w:rsidR="00ED2B49" w:rsidRDefault="00ED2B49" w:rsidP="00365B31">
            <w:pPr>
              <w:pStyle w:val="TableBullet"/>
              <w:keepNext/>
              <w:keepLines/>
              <w:cnfStyle w:val="000000100000" w:firstRow="0" w:lastRow="0" w:firstColumn="0" w:lastColumn="0" w:oddVBand="0" w:evenVBand="0" w:oddHBand="1" w:evenHBand="0" w:firstRowFirstColumn="0" w:firstRowLastColumn="0" w:lastRowFirstColumn="0" w:lastRowLastColumn="0"/>
            </w:pPr>
            <w:r>
              <w:t>CH</w:t>
            </w:r>
            <w:r>
              <w:rPr>
                <w:vertAlign w:val="subscript"/>
              </w:rPr>
              <w:t xml:space="preserve">4 </w:t>
            </w:r>
            <w:r>
              <w:t>and N</w:t>
            </w:r>
            <w:r>
              <w:rPr>
                <w:vertAlign w:val="subscript"/>
              </w:rPr>
              <w:t>2</w:t>
            </w:r>
            <w:r>
              <w:t xml:space="preserve">O combustion emissions accounted for using emissions rates from </w:t>
            </w:r>
            <w:r w:rsidRPr="005D547A">
              <w:t>U.S. EPA Emission Factors Hub</w:t>
            </w:r>
          </w:p>
          <w:p w14:paraId="771DEB16" w14:textId="1D5701E7" w:rsidR="00ED2B49" w:rsidRDefault="00ED2B49" w:rsidP="00365B31">
            <w:pPr>
              <w:pStyle w:val="TableBullet"/>
              <w:keepNext/>
              <w:keepLines/>
              <w:cnfStyle w:val="000000100000" w:firstRow="0" w:lastRow="0" w:firstColumn="0" w:lastColumn="0" w:oddVBand="0" w:evenVBand="0" w:oddHBand="1" w:evenHBand="0" w:firstRowFirstColumn="0" w:firstRowLastColumn="0" w:lastRowFirstColumn="0" w:lastRowLastColumn="0"/>
            </w:pPr>
            <w:r>
              <w:t>CO</w:t>
            </w:r>
            <w:r>
              <w:rPr>
                <w:vertAlign w:val="subscript"/>
              </w:rPr>
              <w:t>2</w:t>
            </w:r>
            <w:r>
              <w:t xml:space="preserve"> emissions considered to be biogenic carbon; partially accounted for using </w:t>
            </w:r>
            <w:proofErr w:type="spellStart"/>
            <w:r>
              <w:t>GWP</w:t>
            </w:r>
            <w:r>
              <w:rPr>
                <w:vertAlign w:val="subscript"/>
              </w:rPr>
              <w:t>bio</w:t>
            </w:r>
            <w:proofErr w:type="spellEnd"/>
            <w:r>
              <w:t xml:space="preserve"> factor</w:t>
            </w:r>
          </w:p>
        </w:tc>
      </w:tr>
      <w:tr w:rsidR="00ED2B49" w:rsidRPr="00413135" w14:paraId="386DBD9A" w14:textId="77777777" w:rsidTr="00ED2B4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3AD7B25E" w14:textId="60750459" w:rsidR="00ED2B49" w:rsidRPr="001324CD" w:rsidRDefault="00ED2B49" w:rsidP="00365B31">
            <w:pPr>
              <w:keepNext/>
              <w:keepLines/>
              <w:rPr>
                <w:b/>
                <w:bCs/>
              </w:rPr>
            </w:pPr>
            <w:r w:rsidRPr="004F54DB">
              <w:rPr>
                <w:b/>
                <w:bCs/>
              </w:rPr>
              <w:t xml:space="preserve">Wood </w:t>
            </w:r>
            <w:r w:rsidRPr="004F54DB">
              <w:t>pellets</w:t>
            </w:r>
          </w:p>
        </w:tc>
        <w:tc>
          <w:tcPr>
            <w:tcW w:w="1582" w:type="pct"/>
            <w:vMerge/>
          </w:tcPr>
          <w:p w14:paraId="7FE28142" w14:textId="11770600" w:rsidR="00ED2B49" w:rsidRDefault="00ED2B49" w:rsidP="00ED2B49">
            <w:pPr>
              <w:pStyle w:val="TableBullet"/>
              <w:cnfStyle w:val="000000010000" w:firstRow="0" w:lastRow="0" w:firstColumn="0" w:lastColumn="0" w:oddVBand="0" w:evenVBand="0" w:oddHBand="0" w:evenHBand="1" w:firstRowFirstColumn="0" w:firstRowLastColumn="0" w:lastRowFirstColumn="0" w:lastRowLastColumn="0"/>
            </w:pPr>
          </w:p>
        </w:tc>
        <w:tc>
          <w:tcPr>
            <w:tcW w:w="1514" w:type="pct"/>
            <w:vMerge/>
          </w:tcPr>
          <w:p w14:paraId="2F85BB43" w14:textId="77777777" w:rsidR="00ED2B49" w:rsidRDefault="00ED2B49" w:rsidP="006E4E64">
            <w:pPr>
              <w:cnfStyle w:val="000000010000" w:firstRow="0" w:lastRow="0" w:firstColumn="0" w:lastColumn="0" w:oddVBand="0" w:evenVBand="0" w:oddHBand="0" w:evenHBand="1" w:firstRowFirstColumn="0" w:firstRowLastColumn="0" w:lastRowFirstColumn="0" w:lastRowLastColumn="0"/>
            </w:pPr>
          </w:p>
        </w:tc>
      </w:tr>
      <w:tr w:rsidR="00ED2B49" w:rsidRPr="00413135" w14:paraId="05F3E45A" w14:textId="77777777" w:rsidTr="00ED2B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63F73693" w14:textId="0434BC60" w:rsidR="00ED2B49" w:rsidRPr="001324CD" w:rsidRDefault="00ED2B49" w:rsidP="00365B31">
            <w:pPr>
              <w:keepNext/>
              <w:keepLines/>
              <w:rPr>
                <w:b/>
                <w:bCs/>
              </w:rPr>
            </w:pPr>
            <w:r w:rsidRPr="004F54DB">
              <w:rPr>
                <w:b/>
                <w:bCs/>
              </w:rPr>
              <w:t>Firewood</w:t>
            </w:r>
            <w:r w:rsidRPr="004F54DB">
              <w:t>, commercial</w:t>
            </w:r>
          </w:p>
        </w:tc>
        <w:tc>
          <w:tcPr>
            <w:tcW w:w="1582" w:type="pct"/>
            <w:vMerge/>
          </w:tcPr>
          <w:p w14:paraId="1DF59C2B" w14:textId="122EC4C8" w:rsidR="00ED2B49" w:rsidRDefault="00ED2B49" w:rsidP="00ED2B49">
            <w:pPr>
              <w:pStyle w:val="TableBullet"/>
              <w:cnfStyle w:val="000000100000" w:firstRow="0" w:lastRow="0" w:firstColumn="0" w:lastColumn="0" w:oddVBand="0" w:evenVBand="0" w:oddHBand="1" w:evenHBand="0" w:firstRowFirstColumn="0" w:firstRowLastColumn="0" w:lastRowFirstColumn="0" w:lastRowLastColumn="0"/>
            </w:pPr>
          </w:p>
        </w:tc>
        <w:tc>
          <w:tcPr>
            <w:tcW w:w="1514" w:type="pct"/>
            <w:vMerge/>
          </w:tcPr>
          <w:p w14:paraId="7274CD46" w14:textId="77777777" w:rsidR="00ED2B49" w:rsidRDefault="00ED2B49" w:rsidP="006E4E64">
            <w:pPr>
              <w:cnfStyle w:val="000000100000" w:firstRow="0" w:lastRow="0" w:firstColumn="0" w:lastColumn="0" w:oddVBand="0" w:evenVBand="0" w:oddHBand="1" w:evenHBand="0" w:firstRowFirstColumn="0" w:firstRowLastColumn="0" w:lastRowFirstColumn="0" w:lastRowLastColumn="0"/>
            </w:pPr>
          </w:p>
        </w:tc>
      </w:tr>
      <w:tr w:rsidR="00ED2B49" w:rsidRPr="00413135" w14:paraId="06E6BE3D" w14:textId="77777777" w:rsidTr="00ED2B49">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904" w:type="pct"/>
          </w:tcPr>
          <w:p w14:paraId="7196E1D6" w14:textId="762B73E2" w:rsidR="00ED2B49" w:rsidRPr="001324CD" w:rsidRDefault="00ED2B49" w:rsidP="00ED2B49">
            <w:pPr>
              <w:keepNext/>
              <w:keepLines/>
              <w:rPr>
                <w:b/>
                <w:bCs/>
              </w:rPr>
            </w:pPr>
            <w:r w:rsidRPr="004F54DB">
              <w:rPr>
                <w:b/>
                <w:bCs/>
              </w:rPr>
              <w:t>Firewood,</w:t>
            </w:r>
            <w:r w:rsidRPr="004F54DB">
              <w:t xml:space="preserve"> non-commercial</w:t>
            </w:r>
          </w:p>
        </w:tc>
        <w:tc>
          <w:tcPr>
            <w:tcW w:w="1582" w:type="pct"/>
          </w:tcPr>
          <w:p w14:paraId="4462D610" w14:textId="15B5091E" w:rsidR="00ED2B49" w:rsidRDefault="00ED2B49" w:rsidP="00ED2B49">
            <w:pPr>
              <w:pStyle w:val="TableBullet"/>
              <w:cnfStyle w:val="000000010000" w:firstRow="0" w:lastRow="0" w:firstColumn="0" w:lastColumn="0" w:oddVBand="0" w:evenVBand="0" w:oddHBand="0" w:evenHBand="1" w:firstRowFirstColumn="0" w:firstRowLastColumn="0" w:lastRowFirstColumn="0" w:lastRowLastColumn="0"/>
            </w:pPr>
            <w:r w:rsidRPr="00E75430">
              <w:t>V</w:t>
            </w:r>
            <w:r>
              <w:t>ermont</w:t>
            </w:r>
            <w:r w:rsidRPr="00E75430">
              <w:t xml:space="preserve"> Energy Sector Life Cycle Assessment</w:t>
            </w:r>
          </w:p>
        </w:tc>
        <w:tc>
          <w:tcPr>
            <w:tcW w:w="1514" w:type="pct"/>
            <w:vMerge/>
          </w:tcPr>
          <w:p w14:paraId="1EBAFF74" w14:textId="77777777" w:rsidR="00ED2B49" w:rsidRDefault="00ED2B49" w:rsidP="00ED2B49">
            <w:pPr>
              <w:cnfStyle w:val="000000010000" w:firstRow="0" w:lastRow="0" w:firstColumn="0" w:lastColumn="0" w:oddVBand="0" w:evenVBand="0" w:oddHBand="0" w:evenHBand="1" w:firstRowFirstColumn="0" w:firstRowLastColumn="0" w:lastRowFirstColumn="0" w:lastRowLastColumn="0"/>
            </w:pPr>
          </w:p>
        </w:tc>
      </w:tr>
    </w:tbl>
    <w:p w14:paraId="48DADC55" w14:textId="37FE9C7D" w:rsidR="004F54DB" w:rsidRDefault="004F54DB" w:rsidP="004F54DB">
      <w:pPr>
        <w:contextualSpacing/>
        <w:rPr>
          <w:sz w:val="18"/>
          <w:szCs w:val="18"/>
        </w:rPr>
      </w:pPr>
      <w:proofErr w:type="spellStart"/>
      <w:r>
        <w:rPr>
          <w:sz w:val="18"/>
          <w:szCs w:val="18"/>
          <w:vertAlign w:val="superscript"/>
        </w:rPr>
        <w:t>a</w:t>
      </w:r>
      <w:proofErr w:type="spellEnd"/>
      <w:r>
        <w:rPr>
          <w:sz w:val="18"/>
          <w:szCs w:val="18"/>
        </w:rPr>
        <w:t xml:space="preserve"> Th</w:t>
      </w:r>
      <w:r w:rsidR="0025719A">
        <w:rPr>
          <w:sz w:val="18"/>
          <w:szCs w:val="18"/>
        </w:rPr>
        <w:t>ese</w:t>
      </w:r>
      <w:r>
        <w:rPr>
          <w:sz w:val="18"/>
          <w:szCs w:val="18"/>
        </w:rPr>
        <w:t xml:space="preserve"> pathway</w:t>
      </w:r>
      <w:r w:rsidR="0025719A">
        <w:rPr>
          <w:sz w:val="18"/>
          <w:szCs w:val="18"/>
        </w:rPr>
        <w:t>s</w:t>
      </w:r>
      <w:r>
        <w:rPr>
          <w:sz w:val="18"/>
          <w:szCs w:val="18"/>
        </w:rPr>
        <w:t xml:space="preserve"> </w:t>
      </w:r>
      <w:r w:rsidR="0025719A">
        <w:rPr>
          <w:sz w:val="18"/>
          <w:szCs w:val="18"/>
        </w:rPr>
        <w:t>were denoted as “</w:t>
      </w:r>
      <w:r>
        <w:rPr>
          <w:sz w:val="18"/>
          <w:szCs w:val="18"/>
        </w:rPr>
        <w:t xml:space="preserve">from residues and wastes” </w:t>
      </w:r>
      <w:r w:rsidR="00782094">
        <w:rPr>
          <w:sz w:val="18"/>
          <w:szCs w:val="18"/>
        </w:rPr>
        <w:t>in earlier deliverables.</w:t>
      </w:r>
    </w:p>
    <w:p w14:paraId="698B10F2" w14:textId="367B4B43" w:rsidR="00C04969" w:rsidRDefault="00C04969" w:rsidP="00C04969">
      <w:pPr>
        <w:spacing w:before="100" w:beforeAutospacing="1"/>
      </w:pPr>
      <w:r>
        <w:t>We used</w:t>
      </w:r>
      <w:r w:rsidRPr="00413135">
        <w:t xml:space="preserve"> differ</w:t>
      </w:r>
      <w:r w:rsidRPr="00792F94">
        <w:t>ent resources to estimate emission</w:t>
      </w:r>
      <w:r w:rsidR="00C6101B">
        <w:t>s</w:t>
      </w:r>
      <w:r w:rsidRPr="00792F94">
        <w:t xml:space="preserve"> </w:t>
      </w:r>
      <w:r w:rsidR="00C6101B">
        <w:t>rates</w:t>
      </w:r>
      <w:r w:rsidRPr="00792F94">
        <w:t xml:space="preserve"> by lifecycle phase (i.e., upstream and combustion).</w:t>
      </w:r>
      <w:r w:rsidRPr="00792F94">
        <w:rPr>
          <w:rStyle w:val="FootnoteReference"/>
        </w:rPr>
        <w:footnoteReference w:id="6"/>
      </w:r>
      <w:r w:rsidRPr="00792F94">
        <w:t xml:space="preserve"> Broadly speaking, we relied upon Argonne National Laboratory’s Greenhouse gases, Regulated Emissions, and Energy use in Technologies (GREET) model</w:t>
      </w:r>
      <w:r w:rsidRPr="00792F94">
        <w:rPr>
          <w:rStyle w:val="FootnoteReference"/>
        </w:rPr>
        <w:footnoteReference w:id="7"/>
      </w:r>
      <w:r w:rsidRPr="00792F94">
        <w:t xml:space="preserve"> to</w:t>
      </w:r>
      <w:r>
        <w:t xml:space="preserve"> estimate upstream emissions and the U</w:t>
      </w:r>
      <w:r w:rsidR="005D547A">
        <w:t>.</w:t>
      </w:r>
      <w:r>
        <w:t>S</w:t>
      </w:r>
      <w:r w:rsidR="005D547A">
        <w:t>.</w:t>
      </w:r>
      <w:r>
        <w:t xml:space="preserve"> EPA Emission Factors Hub to estimate combustion emissi</w:t>
      </w:r>
      <w:r w:rsidRPr="00792F94">
        <w:t>ons.</w:t>
      </w:r>
      <w:r w:rsidRPr="00792F94">
        <w:rPr>
          <w:rStyle w:val="FootnoteReference"/>
        </w:rPr>
        <w:footnoteReference w:id="8"/>
      </w:r>
      <w:r>
        <w:t xml:space="preserve"> This information was supplemented for certain fuels with information </w:t>
      </w:r>
      <w:r w:rsidRPr="00C27B1A">
        <w:t>from the Vermont Energy Sector Life Cycle Assessment report published by the Vermont Agency of Natural Resources</w:t>
      </w:r>
      <w:r w:rsidR="00912033">
        <w:t>,</w:t>
      </w:r>
      <w:r w:rsidRPr="00C27B1A">
        <w:rPr>
          <w:rStyle w:val="FootnoteReference"/>
        </w:rPr>
        <w:footnoteReference w:id="9"/>
      </w:r>
      <w:r w:rsidR="009A23D2">
        <w:t xml:space="preserve"> information from the Vermont Greenhouse Gas Emissions Inventory and Forecast</w:t>
      </w:r>
      <w:r w:rsidR="00912033">
        <w:t>,</w:t>
      </w:r>
      <w:r w:rsidR="009D7678">
        <w:rPr>
          <w:rStyle w:val="FootnoteReference"/>
        </w:rPr>
        <w:footnoteReference w:id="10"/>
      </w:r>
      <w:r w:rsidRPr="00C27B1A">
        <w:t xml:space="preserve"> </w:t>
      </w:r>
      <w:r w:rsidR="009A23D2">
        <w:t>and information from</w:t>
      </w:r>
      <w:r>
        <w:t xml:space="preserve"> an analysis conducted by Sustainable Energy Advantage on behalf of the Vermont Department of Public Service.</w:t>
      </w:r>
      <w:r>
        <w:rPr>
          <w:rStyle w:val="FootnoteReference"/>
        </w:rPr>
        <w:footnoteReference w:id="11"/>
      </w:r>
    </w:p>
    <w:p w14:paraId="1C0C812C" w14:textId="70D65516" w:rsidR="00ED46AA" w:rsidRDefault="002257D1" w:rsidP="002257D1">
      <w:pPr>
        <w:pStyle w:val="Heading1"/>
        <w:rPr>
          <w:sz w:val="32"/>
          <w:szCs w:val="32"/>
        </w:rPr>
      </w:pPr>
      <w:r>
        <w:rPr>
          <w:sz w:val="32"/>
          <w:szCs w:val="32"/>
        </w:rPr>
        <w:t>Emissions Schedule</w:t>
      </w:r>
    </w:p>
    <w:p w14:paraId="2A373D34" w14:textId="191D9E87" w:rsidR="002257D1" w:rsidRDefault="002257D1" w:rsidP="002257D1">
      <w:r>
        <w:fldChar w:fldCharType="begin"/>
      </w:r>
      <w:r>
        <w:instrText xml:space="preserve"> REF _Ref175226100 \h </w:instrText>
      </w:r>
      <w:r>
        <w:fldChar w:fldCharType="separate"/>
      </w:r>
      <w:r w:rsidR="00290861">
        <w:t xml:space="preserve">Table </w:t>
      </w:r>
      <w:r w:rsidR="00290861">
        <w:rPr>
          <w:noProof/>
        </w:rPr>
        <w:t>2</w:t>
      </w:r>
      <w:r>
        <w:fldChar w:fldCharType="end"/>
      </w:r>
      <w:r>
        <w:t xml:space="preserve"> presents our draft lifecycle emission</w:t>
      </w:r>
      <w:r w:rsidR="00C6101B">
        <w:t>s</w:t>
      </w:r>
      <w:r>
        <w:t xml:space="preserve"> rate schedule. For further detail, including the disaggregation of lifecycle emissions rates into combustion and upstream emissions rates, please refer to the Excel workbook provided with this memo. </w:t>
      </w:r>
    </w:p>
    <w:p w14:paraId="3AEEC3C2" w14:textId="3182DDF2" w:rsidR="00AC21E5" w:rsidRPr="002257D1" w:rsidRDefault="00AC21E5" w:rsidP="002257D1">
      <w:pPr>
        <w:sectPr w:rsidR="00AC21E5" w:rsidRPr="002257D1" w:rsidSect="005F02B5">
          <w:headerReference w:type="default" r:id="rId11"/>
          <w:footerReference w:type="default" r:id="rId12"/>
          <w:type w:val="continuous"/>
          <w:pgSz w:w="12240" w:h="15840" w:code="1"/>
          <w:pgMar w:top="567" w:right="567" w:bottom="567" w:left="567" w:header="567" w:footer="340" w:gutter="0"/>
          <w:cols w:space="708"/>
          <w:docGrid w:linePitch="360"/>
        </w:sectPr>
      </w:pPr>
      <w:r>
        <w:t>Note that more detail around measure characterizations for clean heat measure</w:t>
      </w:r>
      <w:r w:rsidR="006E4E64">
        <w:t>s</w:t>
      </w:r>
      <w:r>
        <w:t xml:space="preserve"> that are themselves liquid or gaseous fuels will be provided in our forthcoming measure characterizations.  These measure characterizations will define the details of how each clean heat measure that is a fuel shall be defined and analyzed for the purpose of clean heat credit development.</w:t>
      </w:r>
    </w:p>
    <w:p w14:paraId="54A3A3A8" w14:textId="48A38E34" w:rsidR="00ED46AA" w:rsidRDefault="00ED46AA" w:rsidP="004F54DB">
      <w:pPr>
        <w:pStyle w:val="Caption"/>
      </w:pPr>
      <w:bookmarkStart w:id="2" w:name="_Ref175226100"/>
      <w:r>
        <w:lastRenderedPageBreak/>
        <w:t xml:space="preserve">Table </w:t>
      </w:r>
      <w:r>
        <w:fldChar w:fldCharType="begin"/>
      </w:r>
      <w:r>
        <w:instrText xml:space="preserve"> SEQ Table \* ARABIC </w:instrText>
      </w:r>
      <w:r>
        <w:fldChar w:fldCharType="separate"/>
      </w:r>
      <w:r w:rsidR="00290861">
        <w:rPr>
          <w:noProof/>
        </w:rPr>
        <w:t>2</w:t>
      </w:r>
      <w:r>
        <w:rPr>
          <w:noProof/>
        </w:rPr>
        <w:fldChar w:fldCharType="end"/>
      </w:r>
      <w:bookmarkEnd w:id="2"/>
      <w:r>
        <w:t>. Draft Lifecycle Emission</w:t>
      </w:r>
      <w:r w:rsidR="00C6101B">
        <w:t>s</w:t>
      </w:r>
      <w:r>
        <w:t xml:space="preserve"> Rate Schedule</w:t>
      </w:r>
    </w:p>
    <w:tbl>
      <w:tblPr>
        <w:tblStyle w:val="ODCBasic-1"/>
        <w:tblW w:w="5000" w:type="pct"/>
        <w:tblLayout w:type="fixed"/>
        <w:tblCellMar>
          <w:top w:w="0" w:type="dxa"/>
        </w:tblCellMar>
        <w:tblLook w:val="04A0" w:firstRow="1" w:lastRow="0" w:firstColumn="1" w:lastColumn="0" w:noHBand="0" w:noVBand="1"/>
      </w:tblPr>
      <w:tblGrid>
        <w:gridCol w:w="4125"/>
        <w:gridCol w:w="687"/>
        <w:gridCol w:w="687"/>
        <w:gridCol w:w="687"/>
        <w:gridCol w:w="687"/>
        <w:gridCol w:w="687"/>
        <w:gridCol w:w="687"/>
        <w:gridCol w:w="687"/>
        <w:gridCol w:w="687"/>
        <w:gridCol w:w="687"/>
        <w:gridCol w:w="687"/>
        <w:gridCol w:w="687"/>
        <w:gridCol w:w="687"/>
        <w:gridCol w:w="686"/>
        <w:gridCol w:w="686"/>
        <w:gridCol w:w="686"/>
        <w:gridCol w:w="686"/>
        <w:gridCol w:w="686"/>
        <w:gridCol w:w="686"/>
        <w:gridCol w:w="686"/>
        <w:gridCol w:w="686"/>
        <w:gridCol w:w="686"/>
        <w:gridCol w:w="686"/>
        <w:gridCol w:w="686"/>
        <w:gridCol w:w="686"/>
        <w:gridCol w:w="686"/>
        <w:gridCol w:w="686"/>
        <w:gridCol w:w="686"/>
        <w:gridCol w:w="691"/>
      </w:tblGrid>
      <w:tr w:rsidR="00884827" w14:paraId="6BBFBBDD" w14:textId="331D24CF" w:rsidTr="007948EE">
        <w:trPr>
          <w:cnfStyle w:val="100000000000" w:firstRow="1" w:lastRow="0" w:firstColumn="0" w:lastColumn="0" w:oddVBand="0" w:evenVBand="0" w:oddHBand="0" w:evenHBand="0" w:firstRowFirstColumn="0" w:firstRowLastColumn="0" w:lastRowFirstColumn="0" w:lastRowLastColumn="0"/>
          <w:trHeight w:val="386"/>
          <w:tblHeader/>
        </w:trPr>
        <w:tc>
          <w:tcPr>
            <w:cnfStyle w:val="001000000000" w:firstRow="0" w:lastRow="0" w:firstColumn="1" w:lastColumn="0" w:oddVBand="0" w:evenVBand="0" w:oddHBand="0" w:evenHBand="0" w:firstRowFirstColumn="0" w:firstRowLastColumn="0" w:lastRowFirstColumn="0" w:lastRowLastColumn="0"/>
            <w:tcW w:w="883" w:type="pct"/>
            <w:vMerge w:val="restart"/>
            <w:tcBorders>
              <w:bottom w:val="single" w:sz="4" w:space="0" w:color="4A4D56" w:themeColor="text1"/>
              <w:right w:val="single" w:sz="4" w:space="0" w:color="4A4D56" w:themeColor="text1"/>
            </w:tcBorders>
          </w:tcPr>
          <w:p w14:paraId="24CA54F3" w14:textId="638FFE72" w:rsidR="00884827" w:rsidRPr="00926EB2" w:rsidRDefault="00884827" w:rsidP="00926EB2">
            <w:pPr>
              <w:pStyle w:val="TableHeadingLeft"/>
              <w:jc w:val="left"/>
              <w:rPr>
                <w:sz w:val="18"/>
                <w:szCs w:val="18"/>
              </w:rPr>
            </w:pPr>
            <w:r w:rsidRPr="00926EB2">
              <w:rPr>
                <w:sz w:val="18"/>
                <w:szCs w:val="18"/>
              </w:rPr>
              <w:t>Fuel</w:t>
            </w:r>
          </w:p>
        </w:tc>
        <w:tc>
          <w:tcPr>
            <w:tcW w:w="4117" w:type="pct"/>
            <w:gridSpan w:val="28"/>
            <w:tcBorders>
              <w:left w:val="single" w:sz="4" w:space="0" w:color="4A4D56" w:themeColor="text1"/>
              <w:bottom w:val="single" w:sz="4" w:space="0" w:color="4A4D56" w:themeColor="text1"/>
            </w:tcBorders>
          </w:tcPr>
          <w:p w14:paraId="4A2F44DF" w14:textId="50F2FBCA" w:rsidR="00884827" w:rsidRPr="00926EB2"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Lifecycle Average Emission</w:t>
            </w:r>
            <w:r w:rsidR="00C6101B">
              <w:rPr>
                <w:sz w:val="18"/>
                <w:szCs w:val="18"/>
              </w:rPr>
              <w:t>s</w:t>
            </w:r>
            <w:r>
              <w:rPr>
                <w:sz w:val="18"/>
                <w:szCs w:val="18"/>
              </w:rPr>
              <w:t xml:space="preserve"> Rate (</w:t>
            </w:r>
            <w:r w:rsidR="002E32CA">
              <w:rPr>
                <w:sz w:val="18"/>
                <w:szCs w:val="18"/>
              </w:rPr>
              <w:t>gCO</w:t>
            </w:r>
            <w:r w:rsidR="002E32CA">
              <w:rPr>
                <w:sz w:val="18"/>
                <w:szCs w:val="18"/>
                <w:vertAlign w:val="subscript"/>
              </w:rPr>
              <w:t>2</w:t>
            </w:r>
            <w:r w:rsidR="002E32CA" w:rsidRPr="002E32CA">
              <w:rPr>
                <w:sz w:val="18"/>
                <w:szCs w:val="18"/>
                <w:rPrChange w:id="3" w:author="Zachary Ross" w:date="2024-08-29T14:24:00Z" w16du:dateUtc="2024-08-29T18:24:00Z">
                  <w:rPr>
                    <w:sz w:val="18"/>
                    <w:szCs w:val="18"/>
                    <w:vertAlign w:val="subscript"/>
                  </w:rPr>
                </w:rPrChange>
              </w:rPr>
              <w:t>e</w:t>
            </w:r>
            <w:r>
              <w:rPr>
                <w:sz w:val="18"/>
                <w:szCs w:val="18"/>
              </w:rPr>
              <w:t>/MJ)</w:t>
            </w:r>
          </w:p>
        </w:tc>
      </w:tr>
      <w:tr w:rsidR="00562626" w14:paraId="2663AB6F" w14:textId="7DE9BFAC" w:rsidTr="007948EE">
        <w:trPr>
          <w:cnfStyle w:val="100000000000" w:firstRow="1" w:lastRow="0" w:firstColumn="0" w:lastColumn="0" w:oddVBand="0" w:evenVBand="0" w:oddHBand="0" w:evenHBand="0" w:firstRowFirstColumn="0" w:firstRowLastColumn="0" w:lastRowFirstColumn="0" w:lastRowLastColumn="0"/>
          <w:cantSplit/>
          <w:trHeight w:val="340"/>
          <w:tblHeader/>
        </w:trPr>
        <w:tc>
          <w:tcPr>
            <w:cnfStyle w:val="001000000000" w:firstRow="0" w:lastRow="0" w:firstColumn="1" w:lastColumn="0" w:oddVBand="0" w:evenVBand="0" w:oddHBand="0" w:evenHBand="0" w:firstRowFirstColumn="0" w:firstRowLastColumn="0" w:lastRowFirstColumn="0" w:lastRowLastColumn="0"/>
            <w:tcW w:w="883" w:type="pct"/>
            <w:vMerge/>
            <w:tcBorders>
              <w:top w:val="single" w:sz="4" w:space="0" w:color="4A4D56" w:themeColor="text1"/>
              <w:bottom w:val="single" w:sz="4" w:space="0" w:color="4D4D4F"/>
              <w:right w:val="single" w:sz="4" w:space="0" w:color="4A4D56" w:themeColor="text1"/>
            </w:tcBorders>
          </w:tcPr>
          <w:p w14:paraId="35970D0A" w14:textId="77777777" w:rsidR="00884827" w:rsidRPr="00926EB2" w:rsidRDefault="00884827" w:rsidP="00926EB2">
            <w:pPr>
              <w:pStyle w:val="ODTable"/>
              <w:suppressAutoHyphens/>
              <w:ind w:left="72"/>
              <w:jc w:val="left"/>
              <w:rPr>
                <w:sz w:val="18"/>
                <w:szCs w:val="18"/>
              </w:rPr>
            </w:pPr>
          </w:p>
        </w:tc>
        <w:tc>
          <w:tcPr>
            <w:tcW w:w="147" w:type="pct"/>
            <w:tcBorders>
              <w:top w:val="single" w:sz="4" w:space="0" w:color="4A4D56" w:themeColor="text1"/>
              <w:left w:val="single" w:sz="4" w:space="0" w:color="4A4D56" w:themeColor="text1"/>
              <w:bottom w:val="single" w:sz="4" w:space="0" w:color="4D4D4F"/>
              <w:right w:val="single" w:sz="4" w:space="0" w:color="4A4D56" w:themeColor="text1"/>
            </w:tcBorders>
          </w:tcPr>
          <w:p w14:paraId="2BB2B127" w14:textId="5F149A6F" w:rsidR="00884827" w:rsidRPr="00926EB2"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sidRPr="00926EB2">
              <w:rPr>
                <w:sz w:val="18"/>
                <w:szCs w:val="18"/>
              </w:rPr>
              <w:t>2023</w:t>
            </w:r>
          </w:p>
        </w:tc>
        <w:tc>
          <w:tcPr>
            <w:tcW w:w="147" w:type="pct"/>
            <w:tcBorders>
              <w:top w:val="single" w:sz="4" w:space="0" w:color="4A4D56" w:themeColor="text1"/>
              <w:left w:val="single" w:sz="4" w:space="0" w:color="4A4D56" w:themeColor="text1"/>
              <w:bottom w:val="single" w:sz="4" w:space="0" w:color="4D4D4F"/>
              <w:right w:val="single" w:sz="4" w:space="0" w:color="4A4D56" w:themeColor="text1"/>
            </w:tcBorders>
          </w:tcPr>
          <w:p w14:paraId="08532094" w14:textId="33E799B9" w:rsidR="00884827" w:rsidRPr="00926EB2"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sidRPr="00926EB2">
              <w:rPr>
                <w:sz w:val="18"/>
                <w:szCs w:val="18"/>
              </w:rPr>
              <w:t>2024</w:t>
            </w:r>
          </w:p>
        </w:tc>
        <w:tc>
          <w:tcPr>
            <w:tcW w:w="147" w:type="pct"/>
            <w:tcBorders>
              <w:top w:val="single" w:sz="4" w:space="0" w:color="4A4D56" w:themeColor="text1"/>
              <w:left w:val="single" w:sz="4" w:space="0" w:color="4A4D56" w:themeColor="text1"/>
              <w:bottom w:val="single" w:sz="4" w:space="0" w:color="4D4D4F"/>
              <w:right w:val="single" w:sz="4" w:space="0" w:color="4A4D56" w:themeColor="text1"/>
            </w:tcBorders>
          </w:tcPr>
          <w:p w14:paraId="71F964FB" w14:textId="51DE5A07" w:rsidR="00884827" w:rsidRPr="00926EB2"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sidRPr="00926EB2">
              <w:rPr>
                <w:sz w:val="18"/>
                <w:szCs w:val="18"/>
              </w:rPr>
              <w:t>2025</w:t>
            </w:r>
          </w:p>
        </w:tc>
        <w:tc>
          <w:tcPr>
            <w:tcW w:w="147" w:type="pct"/>
            <w:tcBorders>
              <w:top w:val="single" w:sz="4" w:space="0" w:color="4A4D56" w:themeColor="text1"/>
              <w:left w:val="single" w:sz="4" w:space="0" w:color="4A4D56" w:themeColor="text1"/>
              <w:bottom w:val="single" w:sz="4" w:space="0" w:color="4D4D4F"/>
              <w:right w:val="single" w:sz="4" w:space="0" w:color="4A4D56" w:themeColor="text1"/>
            </w:tcBorders>
          </w:tcPr>
          <w:p w14:paraId="5A02D18B" w14:textId="5BA4558F" w:rsidR="00884827" w:rsidRPr="00926EB2"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sidRPr="00926EB2">
              <w:rPr>
                <w:sz w:val="18"/>
                <w:szCs w:val="18"/>
              </w:rPr>
              <w:t>2026</w:t>
            </w:r>
          </w:p>
        </w:tc>
        <w:tc>
          <w:tcPr>
            <w:tcW w:w="147" w:type="pct"/>
            <w:tcBorders>
              <w:top w:val="single" w:sz="4" w:space="0" w:color="4A4D56" w:themeColor="text1"/>
              <w:left w:val="single" w:sz="4" w:space="0" w:color="4A4D56" w:themeColor="text1"/>
              <w:bottom w:val="single" w:sz="4" w:space="0" w:color="4D4D4F"/>
              <w:right w:val="single" w:sz="4" w:space="0" w:color="4A4D56" w:themeColor="text1"/>
            </w:tcBorders>
          </w:tcPr>
          <w:p w14:paraId="392DAFB7" w14:textId="4F339F21" w:rsidR="00884827" w:rsidRPr="00926EB2"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sidRPr="00926EB2">
              <w:rPr>
                <w:sz w:val="18"/>
                <w:szCs w:val="18"/>
              </w:rPr>
              <w:t>2027</w:t>
            </w:r>
          </w:p>
        </w:tc>
        <w:tc>
          <w:tcPr>
            <w:tcW w:w="147" w:type="pct"/>
            <w:tcBorders>
              <w:top w:val="single" w:sz="4" w:space="0" w:color="4A4D56" w:themeColor="text1"/>
              <w:left w:val="single" w:sz="4" w:space="0" w:color="4A4D56" w:themeColor="text1"/>
              <w:bottom w:val="single" w:sz="4" w:space="0" w:color="4D4D4F"/>
              <w:right w:val="single" w:sz="4" w:space="0" w:color="4A4D56" w:themeColor="text1"/>
            </w:tcBorders>
          </w:tcPr>
          <w:p w14:paraId="28BAE0BD" w14:textId="638A9610" w:rsidR="00884827" w:rsidRPr="00926EB2"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sidRPr="00926EB2">
              <w:rPr>
                <w:sz w:val="18"/>
                <w:szCs w:val="18"/>
              </w:rPr>
              <w:t>2028</w:t>
            </w:r>
          </w:p>
        </w:tc>
        <w:tc>
          <w:tcPr>
            <w:tcW w:w="147" w:type="pct"/>
            <w:tcBorders>
              <w:top w:val="single" w:sz="4" w:space="0" w:color="4A4D56" w:themeColor="text1"/>
              <w:left w:val="single" w:sz="4" w:space="0" w:color="4A4D56" w:themeColor="text1"/>
              <w:bottom w:val="single" w:sz="4" w:space="0" w:color="4D4D4F"/>
              <w:right w:val="single" w:sz="4" w:space="0" w:color="4A4D56" w:themeColor="text1"/>
            </w:tcBorders>
          </w:tcPr>
          <w:p w14:paraId="28D4F238" w14:textId="04547411" w:rsidR="00884827" w:rsidRPr="00926EB2"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2029</w:t>
            </w:r>
          </w:p>
        </w:tc>
        <w:tc>
          <w:tcPr>
            <w:tcW w:w="147" w:type="pct"/>
            <w:tcBorders>
              <w:top w:val="single" w:sz="4" w:space="0" w:color="4A4D56" w:themeColor="text1"/>
              <w:left w:val="single" w:sz="4" w:space="0" w:color="4A4D56" w:themeColor="text1"/>
              <w:bottom w:val="single" w:sz="4" w:space="0" w:color="4D4D4F"/>
              <w:right w:val="single" w:sz="4" w:space="0" w:color="4A4D56" w:themeColor="text1"/>
            </w:tcBorders>
          </w:tcPr>
          <w:p w14:paraId="7986573D" w14:textId="2D02D688" w:rsidR="00884827" w:rsidRPr="00926EB2"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2030</w:t>
            </w:r>
          </w:p>
        </w:tc>
        <w:tc>
          <w:tcPr>
            <w:tcW w:w="147" w:type="pct"/>
            <w:tcBorders>
              <w:top w:val="single" w:sz="4" w:space="0" w:color="4A4D56" w:themeColor="text1"/>
              <w:left w:val="single" w:sz="4" w:space="0" w:color="4A4D56" w:themeColor="text1"/>
              <w:bottom w:val="single" w:sz="4" w:space="0" w:color="4D4D4F"/>
              <w:right w:val="single" w:sz="4" w:space="0" w:color="4A4D56" w:themeColor="text1"/>
            </w:tcBorders>
          </w:tcPr>
          <w:p w14:paraId="7BD21E1C" w14:textId="7B882EE5" w:rsidR="00884827" w:rsidRPr="00926EB2"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2031</w:t>
            </w:r>
          </w:p>
        </w:tc>
        <w:tc>
          <w:tcPr>
            <w:tcW w:w="147" w:type="pct"/>
            <w:tcBorders>
              <w:top w:val="single" w:sz="4" w:space="0" w:color="4A4D56" w:themeColor="text1"/>
              <w:left w:val="single" w:sz="4" w:space="0" w:color="4A4D56" w:themeColor="text1"/>
              <w:bottom w:val="single" w:sz="4" w:space="0" w:color="4D4D4F"/>
              <w:right w:val="single" w:sz="4" w:space="0" w:color="4A4D56" w:themeColor="text1"/>
            </w:tcBorders>
          </w:tcPr>
          <w:p w14:paraId="7AF15B5F" w14:textId="154C9ECF" w:rsidR="00884827" w:rsidRPr="00926EB2"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2032</w:t>
            </w:r>
          </w:p>
        </w:tc>
        <w:tc>
          <w:tcPr>
            <w:tcW w:w="147" w:type="pct"/>
            <w:tcBorders>
              <w:top w:val="single" w:sz="4" w:space="0" w:color="4A4D56" w:themeColor="text1"/>
              <w:left w:val="single" w:sz="4" w:space="0" w:color="4A4D56" w:themeColor="text1"/>
              <w:bottom w:val="single" w:sz="4" w:space="0" w:color="4D4D4F"/>
              <w:right w:val="single" w:sz="4" w:space="0" w:color="4A4D56" w:themeColor="text1"/>
            </w:tcBorders>
          </w:tcPr>
          <w:p w14:paraId="02EC279C" w14:textId="48A0EC01" w:rsidR="00884827" w:rsidRPr="00926EB2"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2033</w:t>
            </w:r>
          </w:p>
        </w:tc>
        <w:tc>
          <w:tcPr>
            <w:tcW w:w="147" w:type="pct"/>
            <w:tcBorders>
              <w:top w:val="single" w:sz="4" w:space="0" w:color="4A4D56" w:themeColor="text1"/>
              <w:left w:val="single" w:sz="4" w:space="0" w:color="4A4D56" w:themeColor="text1"/>
              <w:bottom w:val="single" w:sz="4" w:space="0" w:color="4D4D4F"/>
            </w:tcBorders>
          </w:tcPr>
          <w:p w14:paraId="244C83A9" w14:textId="173348BC" w:rsidR="00884827" w:rsidRPr="00926EB2"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2034</w:t>
            </w:r>
          </w:p>
        </w:tc>
        <w:tc>
          <w:tcPr>
            <w:tcW w:w="147" w:type="pct"/>
            <w:tcBorders>
              <w:top w:val="single" w:sz="4" w:space="0" w:color="4A4D56" w:themeColor="text1"/>
              <w:left w:val="single" w:sz="4" w:space="0" w:color="4A4D56" w:themeColor="text1"/>
              <w:bottom w:val="single" w:sz="4" w:space="0" w:color="4D4D4F"/>
              <w:right w:val="single" w:sz="4" w:space="0" w:color="4A4D56" w:themeColor="text1"/>
            </w:tcBorders>
          </w:tcPr>
          <w:p w14:paraId="3A73AF79" w14:textId="3387BCED" w:rsidR="00884827"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2035</w:t>
            </w:r>
          </w:p>
        </w:tc>
        <w:tc>
          <w:tcPr>
            <w:tcW w:w="147" w:type="pct"/>
            <w:tcBorders>
              <w:top w:val="single" w:sz="4" w:space="0" w:color="4A4D56" w:themeColor="text1"/>
              <w:left w:val="single" w:sz="4" w:space="0" w:color="4A4D56" w:themeColor="text1"/>
              <w:bottom w:val="single" w:sz="4" w:space="0" w:color="4D4D4F"/>
              <w:right w:val="single" w:sz="4" w:space="0" w:color="4A4D56" w:themeColor="text1"/>
            </w:tcBorders>
          </w:tcPr>
          <w:p w14:paraId="6E721517" w14:textId="768F5594" w:rsidR="00884827"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2036</w:t>
            </w:r>
          </w:p>
        </w:tc>
        <w:tc>
          <w:tcPr>
            <w:tcW w:w="147" w:type="pct"/>
            <w:tcBorders>
              <w:top w:val="single" w:sz="4" w:space="0" w:color="4A4D56" w:themeColor="text1"/>
              <w:left w:val="single" w:sz="4" w:space="0" w:color="4A4D56" w:themeColor="text1"/>
              <w:bottom w:val="single" w:sz="4" w:space="0" w:color="4D4D4F"/>
              <w:right w:val="single" w:sz="4" w:space="0" w:color="4A4D56" w:themeColor="text1"/>
            </w:tcBorders>
          </w:tcPr>
          <w:p w14:paraId="385469DB" w14:textId="6AF448E8" w:rsidR="00884827"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2037</w:t>
            </w:r>
          </w:p>
        </w:tc>
        <w:tc>
          <w:tcPr>
            <w:tcW w:w="147" w:type="pct"/>
            <w:tcBorders>
              <w:top w:val="single" w:sz="4" w:space="0" w:color="4A4D56" w:themeColor="text1"/>
              <w:left w:val="single" w:sz="4" w:space="0" w:color="4A4D56" w:themeColor="text1"/>
              <w:bottom w:val="single" w:sz="4" w:space="0" w:color="4D4D4F"/>
            </w:tcBorders>
          </w:tcPr>
          <w:p w14:paraId="5D646C70" w14:textId="59A9CFD4" w:rsidR="00884827"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2038</w:t>
            </w:r>
          </w:p>
        </w:tc>
        <w:tc>
          <w:tcPr>
            <w:tcW w:w="147" w:type="pct"/>
            <w:tcBorders>
              <w:top w:val="single" w:sz="4" w:space="0" w:color="4A4D56" w:themeColor="text1"/>
              <w:left w:val="single" w:sz="4" w:space="0" w:color="4A4D56" w:themeColor="text1"/>
              <w:bottom w:val="single" w:sz="4" w:space="0" w:color="4D4D4F"/>
              <w:right w:val="single" w:sz="4" w:space="0" w:color="4A4D56" w:themeColor="text1"/>
            </w:tcBorders>
          </w:tcPr>
          <w:p w14:paraId="31110EB5" w14:textId="2E4BFAA6" w:rsidR="00884827"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2039</w:t>
            </w:r>
          </w:p>
        </w:tc>
        <w:tc>
          <w:tcPr>
            <w:tcW w:w="147" w:type="pct"/>
            <w:tcBorders>
              <w:top w:val="single" w:sz="4" w:space="0" w:color="4A4D56" w:themeColor="text1"/>
              <w:left w:val="single" w:sz="4" w:space="0" w:color="4A4D56" w:themeColor="text1"/>
              <w:bottom w:val="single" w:sz="4" w:space="0" w:color="4D4D4F"/>
            </w:tcBorders>
          </w:tcPr>
          <w:p w14:paraId="74EF5A44" w14:textId="41E58B37" w:rsidR="00884827"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2040</w:t>
            </w:r>
          </w:p>
        </w:tc>
        <w:tc>
          <w:tcPr>
            <w:tcW w:w="147" w:type="pct"/>
            <w:tcBorders>
              <w:top w:val="single" w:sz="4" w:space="0" w:color="4A4D56" w:themeColor="text1"/>
              <w:left w:val="single" w:sz="4" w:space="0" w:color="4A4D56" w:themeColor="text1"/>
              <w:bottom w:val="single" w:sz="4" w:space="0" w:color="4D4D4F"/>
            </w:tcBorders>
          </w:tcPr>
          <w:p w14:paraId="26C25B63" w14:textId="54EE398B" w:rsidR="00884827"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2041</w:t>
            </w:r>
          </w:p>
        </w:tc>
        <w:tc>
          <w:tcPr>
            <w:tcW w:w="147" w:type="pct"/>
            <w:tcBorders>
              <w:top w:val="single" w:sz="4" w:space="0" w:color="4A4D56" w:themeColor="text1"/>
              <w:left w:val="single" w:sz="4" w:space="0" w:color="4A4D56" w:themeColor="text1"/>
              <w:bottom w:val="single" w:sz="4" w:space="0" w:color="4D4D4F"/>
            </w:tcBorders>
          </w:tcPr>
          <w:p w14:paraId="41F579DA" w14:textId="54052E1B" w:rsidR="00884827"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2042</w:t>
            </w:r>
          </w:p>
        </w:tc>
        <w:tc>
          <w:tcPr>
            <w:tcW w:w="147" w:type="pct"/>
            <w:tcBorders>
              <w:top w:val="single" w:sz="4" w:space="0" w:color="4A4D56" w:themeColor="text1"/>
              <w:left w:val="single" w:sz="4" w:space="0" w:color="4A4D56" w:themeColor="text1"/>
              <w:bottom w:val="single" w:sz="4" w:space="0" w:color="4D4D4F"/>
            </w:tcBorders>
          </w:tcPr>
          <w:p w14:paraId="1E500DDC" w14:textId="47F6F1C5" w:rsidR="00884827"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2043</w:t>
            </w:r>
          </w:p>
        </w:tc>
        <w:tc>
          <w:tcPr>
            <w:tcW w:w="147" w:type="pct"/>
            <w:tcBorders>
              <w:top w:val="single" w:sz="4" w:space="0" w:color="4A4D56" w:themeColor="text1"/>
              <w:left w:val="single" w:sz="4" w:space="0" w:color="4A4D56" w:themeColor="text1"/>
              <w:bottom w:val="single" w:sz="4" w:space="0" w:color="4D4D4F"/>
            </w:tcBorders>
          </w:tcPr>
          <w:p w14:paraId="07D8E170" w14:textId="5F334CA2" w:rsidR="00884827"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2044</w:t>
            </w:r>
          </w:p>
        </w:tc>
        <w:tc>
          <w:tcPr>
            <w:tcW w:w="147" w:type="pct"/>
            <w:tcBorders>
              <w:top w:val="single" w:sz="4" w:space="0" w:color="4A4D56" w:themeColor="text1"/>
              <w:left w:val="single" w:sz="4" w:space="0" w:color="4A4D56" w:themeColor="text1"/>
              <w:bottom w:val="single" w:sz="4" w:space="0" w:color="4D4D4F"/>
            </w:tcBorders>
          </w:tcPr>
          <w:p w14:paraId="3C1A0F6C" w14:textId="7CBF11EE" w:rsidR="00884827"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2045</w:t>
            </w:r>
          </w:p>
        </w:tc>
        <w:tc>
          <w:tcPr>
            <w:tcW w:w="147" w:type="pct"/>
            <w:tcBorders>
              <w:top w:val="single" w:sz="4" w:space="0" w:color="4A4D56" w:themeColor="text1"/>
              <w:left w:val="single" w:sz="4" w:space="0" w:color="4A4D56" w:themeColor="text1"/>
              <w:bottom w:val="single" w:sz="4" w:space="0" w:color="4D4D4F"/>
            </w:tcBorders>
          </w:tcPr>
          <w:p w14:paraId="02CFC11C" w14:textId="4CB6FC5A" w:rsidR="00884827"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2046</w:t>
            </w:r>
          </w:p>
        </w:tc>
        <w:tc>
          <w:tcPr>
            <w:tcW w:w="147" w:type="pct"/>
            <w:tcBorders>
              <w:top w:val="single" w:sz="4" w:space="0" w:color="4A4D56" w:themeColor="text1"/>
              <w:left w:val="single" w:sz="4" w:space="0" w:color="4A4D56" w:themeColor="text1"/>
              <w:bottom w:val="single" w:sz="4" w:space="0" w:color="4D4D4F"/>
            </w:tcBorders>
          </w:tcPr>
          <w:p w14:paraId="4299F772" w14:textId="4121A1B0" w:rsidR="00884827"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2047</w:t>
            </w:r>
          </w:p>
        </w:tc>
        <w:tc>
          <w:tcPr>
            <w:tcW w:w="147" w:type="pct"/>
            <w:tcBorders>
              <w:top w:val="single" w:sz="4" w:space="0" w:color="4A4D56" w:themeColor="text1"/>
              <w:left w:val="single" w:sz="4" w:space="0" w:color="4A4D56" w:themeColor="text1"/>
              <w:bottom w:val="single" w:sz="4" w:space="0" w:color="4D4D4F"/>
            </w:tcBorders>
          </w:tcPr>
          <w:p w14:paraId="37896D6A" w14:textId="5EBF5E9C" w:rsidR="00884827"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2048</w:t>
            </w:r>
          </w:p>
        </w:tc>
        <w:tc>
          <w:tcPr>
            <w:tcW w:w="147" w:type="pct"/>
            <w:tcBorders>
              <w:top w:val="single" w:sz="4" w:space="0" w:color="4A4D56" w:themeColor="text1"/>
              <w:left w:val="single" w:sz="4" w:space="0" w:color="4A4D56" w:themeColor="text1"/>
              <w:bottom w:val="single" w:sz="4" w:space="0" w:color="4D4D4F"/>
            </w:tcBorders>
          </w:tcPr>
          <w:p w14:paraId="4BE7BDA9" w14:textId="723EDA23" w:rsidR="00884827"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2049</w:t>
            </w:r>
          </w:p>
        </w:tc>
        <w:tc>
          <w:tcPr>
            <w:tcW w:w="148" w:type="pct"/>
            <w:tcBorders>
              <w:top w:val="single" w:sz="4" w:space="0" w:color="4A4D56" w:themeColor="text1"/>
              <w:left w:val="single" w:sz="4" w:space="0" w:color="4A4D56" w:themeColor="text1"/>
              <w:bottom w:val="single" w:sz="4" w:space="0" w:color="4D4D4F"/>
            </w:tcBorders>
          </w:tcPr>
          <w:p w14:paraId="3B0B21DB" w14:textId="4B8DAB0F" w:rsidR="00884827" w:rsidRDefault="00884827" w:rsidP="00276E8D">
            <w:pPr>
              <w:pStyle w:val="TableHeadingCentered"/>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2050</w:t>
            </w:r>
          </w:p>
        </w:tc>
      </w:tr>
      <w:tr w:rsidR="00562626" w:rsidRPr="00884827" w14:paraId="0A25EBFE" w14:textId="77777777" w:rsidTr="007948EE">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Borders>
              <w:right w:val="nil"/>
            </w:tcBorders>
            <w:shd w:val="clear" w:color="auto" w:fill="1FA9E1" w:themeFill="accent3"/>
          </w:tcPr>
          <w:p w14:paraId="5F6ED6C8" w14:textId="13E41513" w:rsidR="001F4B4F" w:rsidRPr="00884827" w:rsidRDefault="001F4B4F" w:rsidP="001F4B4F">
            <w:pPr>
              <w:pStyle w:val="TableLeftText"/>
              <w:rPr>
                <w:rFonts w:ascii="Franklin Gothic Medium" w:hAnsi="Franklin Gothic Medium"/>
                <w:color w:val="FFFFFF" w:themeColor="background1"/>
                <w:sz w:val="18"/>
                <w:szCs w:val="18"/>
              </w:rPr>
            </w:pPr>
            <w:r>
              <w:rPr>
                <w:rFonts w:ascii="Franklin Gothic Medium" w:hAnsi="Franklin Gothic Medium"/>
                <w:color w:val="FFFFFF" w:themeColor="background1"/>
                <w:sz w:val="18"/>
                <w:szCs w:val="18"/>
              </w:rPr>
              <w:t>Grid Electricity</w:t>
            </w:r>
          </w:p>
        </w:tc>
        <w:tc>
          <w:tcPr>
            <w:tcW w:w="147" w:type="pct"/>
            <w:tcBorders>
              <w:left w:val="nil"/>
              <w:right w:val="nil"/>
            </w:tcBorders>
            <w:shd w:val="clear" w:color="auto" w:fill="1FA9E1" w:themeFill="accent3"/>
          </w:tcPr>
          <w:p w14:paraId="449E3E9D" w14:textId="3BD442CD"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05D4EB13" w14:textId="591380FF"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544AE9CE" w14:textId="5C489E43"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58F85CA0" w14:textId="68EC5232"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4B064954" w14:textId="4D1A2A8B"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4B38083C" w14:textId="7FDF034A"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3FA0D524" w14:textId="298E2432"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181D9CC6" w14:textId="4D0F64CF"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4314117A" w14:textId="629B4073"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73EF3BFA" w14:textId="79046127"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3BDCCAAD" w14:textId="38100C28"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20581535" w14:textId="5AAF1F17"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6E325B3B" w14:textId="0B4896EA"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1CE2E37E" w14:textId="7AD25583"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473E1265" w14:textId="72277FDE"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33547A51" w14:textId="70615C76"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4AE55628" w14:textId="6224FB99"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5B27297A" w14:textId="3FD5099A"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086F0B36" w14:textId="6ADE3DCC"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270DBA96" w14:textId="6AF5A7AE"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54BBC729" w14:textId="6D2E9FB1"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42D4525A" w14:textId="30B12F48"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66681418" w14:textId="186F98E0"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41D7CEE9" w14:textId="0C489A4D"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0F299398" w14:textId="5854360A"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490FE49E" w14:textId="31AA1512"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01C2564C" w14:textId="64F71B8B"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8" w:type="pct"/>
            <w:tcBorders>
              <w:left w:val="nil"/>
            </w:tcBorders>
            <w:shd w:val="clear" w:color="auto" w:fill="1FA9E1" w:themeFill="accent3"/>
          </w:tcPr>
          <w:p w14:paraId="17754D5F" w14:textId="76E892B0" w:rsidR="001F4B4F" w:rsidRPr="001F4B4F" w:rsidRDefault="001F4B4F" w:rsidP="001F4B4F">
            <w:pPr>
              <w:pStyle w:val="TableCenterTex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r>
      <w:tr w:rsidR="00562626" w14:paraId="3FAC3003" w14:textId="77777777" w:rsidTr="00C27B1A">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7E3644AD" w14:textId="4AE71CF8" w:rsidR="001F4B4F" w:rsidRPr="00926EB2" w:rsidRDefault="001F4B4F" w:rsidP="001F4B4F">
            <w:pPr>
              <w:pStyle w:val="TableLeftText"/>
              <w:rPr>
                <w:sz w:val="18"/>
                <w:szCs w:val="18"/>
              </w:rPr>
            </w:pPr>
            <w:r w:rsidRPr="00926EB2">
              <w:rPr>
                <w:sz w:val="18"/>
                <w:szCs w:val="18"/>
              </w:rPr>
              <w:t xml:space="preserve">Grid </w:t>
            </w:r>
            <w:r>
              <w:rPr>
                <w:sz w:val="18"/>
                <w:szCs w:val="18"/>
              </w:rPr>
              <w:t>e</w:t>
            </w:r>
            <w:r w:rsidRPr="00926EB2">
              <w:rPr>
                <w:sz w:val="18"/>
                <w:szCs w:val="18"/>
              </w:rPr>
              <w:t>lectricity</w:t>
            </w:r>
          </w:p>
        </w:tc>
        <w:tc>
          <w:tcPr>
            <w:tcW w:w="147" w:type="pct"/>
          </w:tcPr>
          <w:p w14:paraId="118D6D4E" w14:textId="10BB65FE" w:rsidR="001F4B4F" w:rsidRPr="001F4B4F" w:rsidRDefault="00C27B1A"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rFonts w:cs="Arial"/>
                <w:color w:val="4A4D56"/>
              </w:rPr>
              <w:t>37.8</w:t>
            </w:r>
            <w:r w:rsidR="001F4B4F" w:rsidRPr="001F4B4F">
              <w:rPr>
                <w:rFonts w:cs="Arial"/>
                <w:color w:val="4A4D56"/>
              </w:rPr>
              <w:t> </w:t>
            </w:r>
          </w:p>
        </w:tc>
        <w:tc>
          <w:tcPr>
            <w:tcW w:w="147" w:type="pct"/>
          </w:tcPr>
          <w:p w14:paraId="79A6F7F0" w14:textId="5F8CBFA0" w:rsidR="001F4B4F" w:rsidRPr="001F4B4F" w:rsidRDefault="00C27B1A"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rFonts w:cs="Arial"/>
                <w:color w:val="4A4D56"/>
              </w:rPr>
              <w:t>37.8</w:t>
            </w:r>
          </w:p>
        </w:tc>
        <w:tc>
          <w:tcPr>
            <w:tcW w:w="147" w:type="pct"/>
            <w:shd w:val="clear" w:color="auto" w:fill="FFFFFF" w:themeFill="background1"/>
          </w:tcPr>
          <w:p w14:paraId="1582B1A5" w14:textId="4C7D07F0"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37.8</w:t>
            </w:r>
          </w:p>
        </w:tc>
        <w:tc>
          <w:tcPr>
            <w:tcW w:w="147" w:type="pct"/>
            <w:shd w:val="clear" w:color="auto" w:fill="FFFFFF" w:themeFill="background1"/>
          </w:tcPr>
          <w:p w14:paraId="51E5B95E" w14:textId="73A669F6"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35.1</w:t>
            </w:r>
          </w:p>
        </w:tc>
        <w:tc>
          <w:tcPr>
            <w:tcW w:w="147" w:type="pct"/>
            <w:shd w:val="clear" w:color="auto" w:fill="FFFFFF" w:themeFill="background1"/>
          </w:tcPr>
          <w:p w14:paraId="75052E5A" w14:textId="523BF229"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32.5</w:t>
            </w:r>
          </w:p>
        </w:tc>
        <w:tc>
          <w:tcPr>
            <w:tcW w:w="147" w:type="pct"/>
            <w:shd w:val="clear" w:color="auto" w:fill="FFFFFF" w:themeFill="background1"/>
          </w:tcPr>
          <w:p w14:paraId="62D01F6A" w14:textId="60C5E908"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29.9</w:t>
            </w:r>
          </w:p>
        </w:tc>
        <w:tc>
          <w:tcPr>
            <w:tcW w:w="147" w:type="pct"/>
            <w:shd w:val="clear" w:color="auto" w:fill="FFFFFF" w:themeFill="background1"/>
          </w:tcPr>
          <w:p w14:paraId="655214ED" w14:textId="2389C574"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27.3</w:t>
            </w:r>
          </w:p>
        </w:tc>
        <w:tc>
          <w:tcPr>
            <w:tcW w:w="147" w:type="pct"/>
            <w:shd w:val="clear" w:color="auto" w:fill="FFFFFF" w:themeFill="background1"/>
          </w:tcPr>
          <w:p w14:paraId="18F9A5C3" w14:textId="7768BC0B"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24.6</w:t>
            </w:r>
          </w:p>
        </w:tc>
        <w:tc>
          <w:tcPr>
            <w:tcW w:w="147" w:type="pct"/>
            <w:shd w:val="clear" w:color="auto" w:fill="FFFFFF" w:themeFill="background1"/>
          </w:tcPr>
          <w:p w14:paraId="3C58DF44" w14:textId="0802E816"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22.0</w:t>
            </w:r>
          </w:p>
        </w:tc>
        <w:tc>
          <w:tcPr>
            <w:tcW w:w="147" w:type="pct"/>
            <w:shd w:val="clear" w:color="auto" w:fill="FFFFFF" w:themeFill="background1"/>
          </w:tcPr>
          <w:p w14:paraId="3879FABC" w14:textId="728E51A8"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19.4</w:t>
            </w:r>
          </w:p>
        </w:tc>
        <w:tc>
          <w:tcPr>
            <w:tcW w:w="147" w:type="pct"/>
            <w:shd w:val="clear" w:color="auto" w:fill="FFFFFF" w:themeFill="background1"/>
          </w:tcPr>
          <w:p w14:paraId="3A94DFA1" w14:textId="58DF86AD"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16.8</w:t>
            </w:r>
          </w:p>
        </w:tc>
        <w:tc>
          <w:tcPr>
            <w:tcW w:w="147" w:type="pct"/>
            <w:shd w:val="clear" w:color="auto" w:fill="FFFFFF" w:themeFill="background1"/>
          </w:tcPr>
          <w:p w14:paraId="7C53FB73" w14:textId="123E8360"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14.1</w:t>
            </w:r>
          </w:p>
        </w:tc>
        <w:tc>
          <w:tcPr>
            <w:tcW w:w="147" w:type="pct"/>
            <w:shd w:val="clear" w:color="auto" w:fill="FFFFFF" w:themeFill="background1"/>
          </w:tcPr>
          <w:p w14:paraId="3CE2746C" w14:textId="0342BC44"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11.5</w:t>
            </w:r>
          </w:p>
        </w:tc>
        <w:tc>
          <w:tcPr>
            <w:tcW w:w="147" w:type="pct"/>
            <w:shd w:val="clear" w:color="auto" w:fill="FFFFFF" w:themeFill="background1"/>
          </w:tcPr>
          <w:p w14:paraId="569920A2" w14:textId="323D2DA2"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11.5</w:t>
            </w:r>
          </w:p>
        </w:tc>
        <w:tc>
          <w:tcPr>
            <w:tcW w:w="147" w:type="pct"/>
            <w:shd w:val="clear" w:color="auto" w:fill="FFFFFF" w:themeFill="background1"/>
          </w:tcPr>
          <w:p w14:paraId="4B85D90B" w14:textId="700C6AC8"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11.5</w:t>
            </w:r>
          </w:p>
        </w:tc>
        <w:tc>
          <w:tcPr>
            <w:tcW w:w="147" w:type="pct"/>
            <w:shd w:val="clear" w:color="auto" w:fill="FFFFFF" w:themeFill="background1"/>
          </w:tcPr>
          <w:p w14:paraId="68E44DF1" w14:textId="27695DB7"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11.5</w:t>
            </w:r>
          </w:p>
        </w:tc>
        <w:tc>
          <w:tcPr>
            <w:tcW w:w="147" w:type="pct"/>
            <w:shd w:val="clear" w:color="auto" w:fill="FFFFFF" w:themeFill="background1"/>
          </w:tcPr>
          <w:p w14:paraId="198EF351" w14:textId="103CEE0E"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11.5</w:t>
            </w:r>
          </w:p>
        </w:tc>
        <w:tc>
          <w:tcPr>
            <w:tcW w:w="147" w:type="pct"/>
            <w:shd w:val="clear" w:color="auto" w:fill="FFFFFF" w:themeFill="background1"/>
          </w:tcPr>
          <w:p w14:paraId="1C1918F5" w14:textId="0C8547E3"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11.5</w:t>
            </w:r>
          </w:p>
        </w:tc>
        <w:tc>
          <w:tcPr>
            <w:tcW w:w="147" w:type="pct"/>
            <w:shd w:val="clear" w:color="auto" w:fill="FFFFFF" w:themeFill="background1"/>
          </w:tcPr>
          <w:p w14:paraId="09DF4121" w14:textId="702376CD"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11.5</w:t>
            </w:r>
          </w:p>
        </w:tc>
        <w:tc>
          <w:tcPr>
            <w:tcW w:w="147" w:type="pct"/>
            <w:shd w:val="clear" w:color="auto" w:fill="FFFFFF" w:themeFill="background1"/>
          </w:tcPr>
          <w:p w14:paraId="54D24576" w14:textId="1B917E2D"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11.5</w:t>
            </w:r>
          </w:p>
        </w:tc>
        <w:tc>
          <w:tcPr>
            <w:tcW w:w="147" w:type="pct"/>
            <w:shd w:val="clear" w:color="auto" w:fill="FFFFFF" w:themeFill="background1"/>
          </w:tcPr>
          <w:p w14:paraId="21BF9BBB" w14:textId="37A246CF"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11.5</w:t>
            </w:r>
          </w:p>
        </w:tc>
        <w:tc>
          <w:tcPr>
            <w:tcW w:w="147" w:type="pct"/>
            <w:shd w:val="clear" w:color="auto" w:fill="FFFFFF" w:themeFill="background1"/>
          </w:tcPr>
          <w:p w14:paraId="4EC622EF" w14:textId="67835175"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11.5</w:t>
            </w:r>
          </w:p>
        </w:tc>
        <w:tc>
          <w:tcPr>
            <w:tcW w:w="147" w:type="pct"/>
            <w:shd w:val="clear" w:color="auto" w:fill="FFFFFF" w:themeFill="background1"/>
          </w:tcPr>
          <w:p w14:paraId="2237080A" w14:textId="33D8E2AD"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11.5</w:t>
            </w:r>
          </w:p>
        </w:tc>
        <w:tc>
          <w:tcPr>
            <w:tcW w:w="147" w:type="pct"/>
            <w:shd w:val="clear" w:color="auto" w:fill="FFFFFF" w:themeFill="background1"/>
          </w:tcPr>
          <w:p w14:paraId="343C199C" w14:textId="227CD347"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11.5</w:t>
            </w:r>
          </w:p>
        </w:tc>
        <w:tc>
          <w:tcPr>
            <w:tcW w:w="147" w:type="pct"/>
            <w:shd w:val="clear" w:color="auto" w:fill="FFFFFF" w:themeFill="background1"/>
          </w:tcPr>
          <w:p w14:paraId="00AF556F" w14:textId="29C208C3"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11.5</w:t>
            </w:r>
          </w:p>
        </w:tc>
        <w:tc>
          <w:tcPr>
            <w:tcW w:w="147" w:type="pct"/>
            <w:shd w:val="clear" w:color="auto" w:fill="FFFFFF" w:themeFill="background1"/>
          </w:tcPr>
          <w:p w14:paraId="616D3C0B" w14:textId="13D6DCA3"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11.5</w:t>
            </w:r>
          </w:p>
        </w:tc>
        <w:tc>
          <w:tcPr>
            <w:tcW w:w="147" w:type="pct"/>
            <w:shd w:val="clear" w:color="auto" w:fill="FFFFFF" w:themeFill="background1"/>
          </w:tcPr>
          <w:p w14:paraId="36A55F18" w14:textId="34DB0ABE"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11.5</w:t>
            </w:r>
          </w:p>
        </w:tc>
        <w:tc>
          <w:tcPr>
            <w:tcW w:w="148" w:type="pct"/>
            <w:shd w:val="clear" w:color="auto" w:fill="FFFFFF" w:themeFill="background1"/>
          </w:tcPr>
          <w:p w14:paraId="013DECA5" w14:textId="5237F756"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11.5</w:t>
            </w:r>
          </w:p>
        </w:tc>
      </w:tr>
      <w:tr w:rsidR="00562626" w14:paraId="37826145" w14:textId="77777777" w:rsidTr="007948EE">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Borders>
              <w:right w:val="nil"/>
            </w:tcBorders>
            <w:shd w:val="clear" w:color="auto" w:fill="1FA9E1" w:themeFill="accent3"/>
          </w:tcPr>
          <w:p w14:paraId="618BC5F0" w14:textId="380D9C85" w:rsidR="001F4B4F" w:rsidRPr="00884827" w:rsidRDefault="00FE28CD" w:rsidP="001F4B4F">
            <w:pPr>
              <w:pStyle w:val="TableLeftText"/>
              <w:rPr>
                <w:rFonts w:ascii="Franklin Gothic Medium" w:hAnsi="Franklin Gothic Medium"/>
                <w:color w:val="FFFFFF" w:themeColor="background1"/>
                <w:sz w:val="18"/>
                <w:szCs w:val="18"/>
              </w:rPr>
            </w:pPr>
            <w:r>
              <w:rPr>
                <w:rFonts w:ascii="Franklin Gothic Medium" w:hAnsi="Franklin Gothic Medium"/>
                <w:color w:val="FFFFFF" w:themeColor="background1"/>
                <w:sz w:val="18"/>
                <w:szCs w:val="18"/>
              </w:rPr>
              <w:t>Liquid</w:t>
            </w:r>
            <w:r w:rsidR="00D30AE8">
              <w:rPr>
                <w:rFonts w:ascii="Franklin Gothic Medium" w:hAnsi="Franklin Gothic Medium"/>
                <w:color w:val="FFFFFF" w:themeColor="background1"/>
                <w:sz w:val="18"/>
                <w:szCs w:val="18"/>
              </w:rPr>
              <w:t xml:space="preserve"> and </w:t>
            </w:r>
            <w:r>
              <w:rPr>
                <w:rFonts w:ascii="Franklin Gothic Medium" w:hAnsi="Franklin Gothic Medium"/>
                <w:color w:val="FFFFFF" w:themeColor="background1"/>
                <w:sz w:val="18"/>
                <w:szCs w:val="18"/>
              </w:rPr>
              <w:t>Gaseous</w:t>
            </w:r>
            <w:r w:rsidR="001F4B4F">
              <w:rPr>
                <w:rFonts w:ascii="Franklin Gothic Medium" w:hAnsi="Franklin Gothic Medium"/>
                <w:color w:val="FFFFFF" w:themeColor="background1"/>
                <w:sz w:val="18"/>
                <w:szCs w:val="18"/>
              </w:rPr>
              <w:t xml:space="preserve"> Fuels</w:t>
            </w:r>
          </w:p>
        </w:tc>
        <w:tc>
          <w:tcPr>
            <w:tcW w:w="147" w:type="pct"/>
            <w:tcBorders>
              <w:left w:val="nil"/>
              <w:right w:val="nil"/>
            </w:tcBorders>
            <w:shd w:val="clear" w:color="auto" w:fill="1FA9E1" w:themeFill="accent3"/>
          </w:tcPr>
          <w:p w14:paraId="7E126BCC" w14:textId="48186FB0"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23BE64E0" w14:textId="6C819DC8"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5A30B147" w14:textId="438F029C"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190DCAB6" w14:textId="6063E560"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41265A65" w14:textId="73637162"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7766A9F5" w14:textId="4901B0D1"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389310F8" w14:textId="60E91146"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7CFEC265" w14:textId="684891FA"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5474A7C2" w14:textId="43152512"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1A549C1D" w14:textId="1D3C0A0B"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3AF5C7D2" w14:textId="235A0E0E"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01FFA17A" w14:textId="50DA028E"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46E28529" w14:textId="56A0E8C3"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7B1B4671" w14:textId="760E5F3F"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606A5802" w14:textId="2068EEFF"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6ABF2169" w14:textId="74A570E5"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4171AD6F" w14:textId="09E8ED3E"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41175191" w14:textId="47E2144D"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36A10423" w14:textId="4731B154"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5A289219" w14:textId="586CB7CF"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6179ABB0" w14:textId="5DD4674D"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13BC5A47" w14:textId="388BCC6A"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3BE01961" w14:textId="662DD75F"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1F3A71EF" w14:textId="07AC41B0"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2031B38B" w14:textId="7660BF2C"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2DC1AD8B" w14:textId="7892EAB3"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1FA9E1" w:themeFill="accent3"/>
          </w:tcPr>
          <w:p w14:paraId="7A2B835C" w14:textId="3742CEA3"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8" w:type="pct"/>
            <w:tcBorders>
              <w:left w:val="nil"/>
            </w:tcBorders>
            <w:shd w:val="clear" w:color="auto" w:fill="1FA9E1" w:themeFill="accent3"/>
          </w:tcPr>
          <w:p w14:paraId="725B66C4" w14:textId="18FE1590"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r>
      <w:tr w:rsidR="00562626" w14:paraId="5338F0BC" w14:textId="6280837A" w:rsidTr="007948EE">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2B0CB02C" w14:textId="3BA3F8DC" w:rsidR="001F4B4F" w:rsidRPr="00926EB2" w:rsidRDefault="001F4B4F" w:rsidP="001F4B4F">
            <w:pPr>
              <w:pStyle w:val="TableLeftText"/>
              <w:rPr>
                <w:sz w:val="18"/>
                <w:szCs w:val="18"/>
              </w:rPr>
            </w:pPr>
            <w:r w:rsidRPr="00926EB2">
              <w:rPr>
                <w:sz w:val="18"/>
                <w:szCs w:val="18"/>
              </w:rPr>
              <w:t>Natu</w:t>
            </w:r>
            <w:r w:rsidRPr="00926EB2">
              <w:rPr>
                <w:color w:val="4A4D56"/>
                <w:sz w:val="18"/>
                <w:szCs w:val="18"/>
              </w:rPr>
              <w:t xml:space="preserve">ral </w:t>
            </w:r>
            <w:r>
              <w:rPr>
                <w:color w:val="4A4D56"/>
                <w:sz w:val="18"/>
                <w:szCs w:val="18"/>
              </w:rPr>
              <w:t>g</w:t>
            </w:r>
            <w:r w:rsidRPr="00926EB2">
              <w:rPr>
                <w:color w:val="4A4D56"/>
                <w:sz w:val="18"/>
                <w:szCs w:val="18"/>
              </w:rPr>
              <w:t>as</w:t>
            </w:r>
          </w:p>
        </w:tc>
        <w:tc>
          <w:tcPr>
            <w:tcW w:w="147" w:type="pct"/>
            <w:shd w:val="clear" w:color="auto" w:fill="FFFFFF" w:themeFill="background1"/>
          </w:tcPr>
          <w:p w14:paraId="1CA3D5D1" w14:textId="668E00B0"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63.7</w:t>
            </w:r>
          </w:p>
        </w:tc>
        <w:tc>
          <w:tcPr>
            <w:tcW w:w="147" w:type="pct"/>
            <w:shd w:val="clear" w:color="auto" w:fill="FFFFFF" w:themeFill="background1"/>
          </w:tcPr>
          <w:p w14:paraId="544E62BB" w14:textId="70BD55CC"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63.7</w:t>
            </w:r>
          </w:p>
        </w:tc>
        <w:tc>
          <w:tcPr>
            <w:tcW w:w="147" w:type="pct"/>
            <w:shd w:val="clear" w:color="auto" w:fill="FFFFFF" w:themeFill="background1"/>
          </w:tcPr>
          <w:p w14:paraId="5E2E756D" w14:textId="2A916899"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63.7</w:t>
            </w:r>
          </w:p>
        </w:tc>
        <w:tc>
          <w:tcPr>
            <w:tcW w:w="147" w:type="pct"/>
            <w:shd w:val="clear" w:color="auto" w:fill="FFFFFF" w:themeFill="background1"/>
          </w:tcPr>
          <w:p w14:paraId="375BBA1A" w14:textId="2766883B"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63.7</w:t>
            </w:r>
          </w:p>
        </w:tc>
        <w:tc>
          <w:tcPr>
            <w:tcW w:w="147" w:type="pct"/>
            <w:shd w:val="clear" w:color="auto" w:fill="FFFFFF" w:themeFill="background1"/>
          </w:tcPr>
          <w:p w14:paraId="54FF59AD" w14:textId="23850053"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63.7</w:t>
            </w:r>
          </w:p>
        </w:tc>
        <w:tc>
          <w:tcPr>
            <w:tcW w:w="147" w:type="pct"/>
            <w:shd w:val="clear" w:color="auto" w:fill="FFFFFF" w:themeFill="background1"/>
          </w:tcPr>
          <w:p w14:paraId="632020B4" w14:textId="406A2F2B"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63.7</w:t>
            </w:r>
          </w:p>
        </w:tc>
        <w:tc>
          <w:tcPr>
            <w:tcW w:w="147" w:type="pct"/>
            <w:shd w:val="clear" w:color="auto" w:fill="FFFFFF" w:themeFill="background1"/>
          </w:tcPr>
          <w:p w14:paraId="28F3C4AB" w14:textId="44A0553E"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63.7</w:t>
            </w:r>
          </w:p>
        </w:tc>
        <w:tc>
          <w:tcPr>
            <w:tcW w:w="147" w:type="pct"/>
            <w:shd w:val="clear" w:color="auto" w:fill="FFFFFF" w:themeFill="background1"/>
          </w:tcPr>
          <w:p w14:paraId="5D4B1A43" w14:textId="55F31672"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63.7</w:t>
            </w:r>
          </w:p>
        </w:tc>
        <w:tc>
          <w:tcPr>
            <w:tcW w:w="147" w:type="pct"/>
            <w:shd w:val="clear" w:color="auto" w:fill="FFFFFF" w:themeFill="background1"/>
          </w:tcPr>
          <w:p w14:paraId="2D0193BF" w14:textId="69B0F4F8"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63.7</w:t>
            </w:r>
          </w:p>
        </w:tc>
        <w:tc>
          <w:tcPr>
            <w:tcW w:w="147" w:type="pct"/>
            <w:shd w:val="clear" w:color="auto" w:fill="FFFFFF" w:themeFill="background1"/>
          </w:tcPr>
          <w:p w14:paraId="0F94305D" w14:textId="44B2BAF7"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63.7</w:t>
            </w:r>
          </w:p>
        </w:tc>
        <w:tc>
          <w:tcPr>
            <w:tcW w:w="147" w:type="pct"/>
            <w:shd w:val="clear" w:color="auto" w:fill="FFFFFF" w:themeFill="background1"/>
          </w:tcPr>
          <w:p w14:paraId="1A85B586" w14:textId="17BB6CA6"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63.7</w:t>
            </w:r>
          </w:p>
        </w:tc>
        <w:tc>
          <w:tcPr>
            <w:tcW w:w="147" w:type="pct"/>
            <w:shd w:val="clear" w:color="auto" w:fill="FFFFFF" w:themeFill="background1"/>
          </w:tcPr>
          <w:p w14:paraId="629397F1" w14:textId="0C43EAC2"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63.7</w:t>
            </w:r>
          </w:p>
        </w:tc>
        <w:tc>
          <w:tcPr>
            <w:tcW w:w="147" w:type="pct"/>
            <w:shd w:val="clear" w:color="auto" w:fill="FFFFFF" w:themeFill="background1"/>
          </w:tcPr>
          <w:p w14:paraId="6167B627" w14:textId="2491CEC6"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63.6</w:t>
            </w:r>
          </w:p>
        </w:tc>
        <w:tc>
          <w:tcPr>
            <w:tcW w:w="147" w:type="pct"/>
            <w:shd w:val="clear" w:color="auto" w:fill="FFFFFF" w:themeFill="background1"/>
          </w:tcPr>
          <w:p w14:paraId="5CB119DB" w14:textId="08B6418C"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63.6</w:t>
            </w:r>
          </w:p>
        </w:tc>
        <w:tc>
          <w:tcPr>
            <w:tcW w:w="147" w:type="pct"/>
            <w:shd w:val="clear" w:color="auto" w:fill="FFFFFF" w:themeFill="background1"/>
          </w:tcPr>
          <w:p w14:paraId="0EB0646F" w14:textId="52FD5380"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63.6</w:t>
            </w:r>
          </w:p>
        </w:tc>
        <w:tc>
          <w:tcPr>
            <w:tcW w:w="147" w:type="pct"/>
            <w:shd w:val="clear" w:color="auto" w:fill="FFFFFF" w:themeFill="background1"/>
          </w:tcPr>
          <w:p w14:paraId="7EF534C0" w14:textId="5B7945D1"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63.6</w:t>
            </w:r>
          </w:p>
        </w:tc>
        <w:tc>
          <w:tcPr>
            <w:tcW w:w="147" w:type="pct"/>
            <w:shd w:val="clear" w:color="auto" w:fill="FFFFFF" w:themeFill="background1"/>
          </w:tcPr>
          <w:p w14:paraId="3E93BC1D" w14:textId="5678477A"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63.6</w:t>
            </w:r>
          </w:p>
        </w:tc>
        <w:tc>
          <w:tcPr>
            <w:tcW w:w="147" w:type="pct"/>
            <w:shd w:val="clear" w:color="auto" w:fill="FFFFFF" w:themeFill="background1"/>
          </w:tcPr>
          <w:p w14:paraId="43316F7D" w14:textId="5F5B0A61"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63.6</w:t>
            </w:r>
          </w:p>
        </w:tc>
        <w:tc>
          <w:tcPr>
            <w:tcW w:w="147" w:type="pct"/>
            <w:shd w:val="clear" w:color="auto" w:fill="FFFFFF" w:themeFill="background1"/>
          </w:tcPr>
          <w:p w14:paraId="0D12922E" w14:textId="42AA1D21"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63.6</w:t>
            </w:r>
          </w:p>
        </w:tc>
        <w:tc>
          <w:tcPr>
            <w:tcW w:w="147" w:type="pct"/>
            <w:shd w:val="clear" w:color="auto" w:fill="FFFFFF" w:themeFill="background1"/>
          </w:tcPr>
          <w:p w14:paraId="13169DE4" w14:textId="132C586D"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63.6</w:t>
            </w:r>
          </w:p>
        </w:tc>
        <w:tc>
          <w:tcPr>
            <w:tcW w:w="147" w:type="pct"/>
            <w:shd w:val="clear" w:color="auto" w:fill="FFFFFF" w:themeFill="background1"/>
          </w:tcPr>
          <w:p w14:paraId="09A34455" w14:textId="2749147B"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63.6</w:t>
            </w:r>
          </w:p>
        </w:tc>
        <w:tc>
          <w:tcPr>
            <w:tcW w:w="147" w:type="pct"/>
            <w:shd w:val="clear" w:color="auto" w:fill="FFFFFF" w:themeFill="background1"/>
          </w:tcPr>
          <w:p w14:paraId="127F9AE6" w14:textId="39A38614"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63.6</w:t>
            </w:r>
          </w:p>
        </w:tc>
        <w:tc>
          <w:tcPr>
            <w:tcW w:w="147" w:type="pct"/>
            <w:shd w:val="clear" w:color="auto" w:fill="FFFFFF" w:themeFill="background1"/>
          </w:tcPr>
          <w:p w14:paraId="21FC9C58" w14:textId="515B8D79"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63.6</w:t>
            </w:r>
          </w:p>
        </w:tc>
        <w:tc>
          <w:tcPr>
            <w:tcW w:w="147" w:type="pct"/>
            <w:shd w:val="clear" w:color="auto" w:fill="FFFFFF" w:themeFill="background1"/>
          </w:tcPr>
          <w:p w14:paraId="77A6D664" w14:textId="404F3D7D"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63.6</w:t>
            </w:r>
          </w:p>
        </w:tc>
        <w:tc>
          <w:tcPr>
            <w:tcW w:w="147" w:type="pct"/>
            <w:shd w:val="clear" w:color="auto" w:fill="FFFFFF" w:themeFill="background1"/>
          </w:tcPr>
          <w:p w14:paraId="77D75AF1" w14:textId="3AF6B8C8"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63.6</w:t>
            </w:r>
          </w:p>
        </w:tc>
        <w:tc>
          <w:tcPr>
            <w:tcW w:w="147" w:type="pct"/>
            <w:shd w:val="clear" w:color="auto" w:fill="FFFFFF" w:themeFill="background1"/>
          </w:tcPr>
          <w:p w14:paraId="6288249F" w14:textId="261B985D"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63.6</w:t>
            </w:r>
          </w:p>
        </w:tc>
        <w:tc>
          <w:tcPr>
            <w:tcW w:w="147" w:type="pct"/>
            <w:shd w:val="clear" w:color="auto" w:fill="FFFFFF" w:themeFill="background1"/>
          </w:tcPr>
          <w:p w14:paraId="10F69965" w14:textId="0BB0FB1C"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63.6</w:t>
            </w:r>
          </w:p>
        </w:tc>
        <w:tc>
          <w:tcPr>
            <w:tcW w:w="148" w:type="pct"/>
            <w:shd w:val="clear" w:color="auto" w:fill="FFFFFF" w:themeFill="background1"/>
          </w:tcPr>
          <w:p w14:paraId="3483DA39" w14:textId="1F9E140D" w:rsidR="001F4B4F" w:rsidRPr="001F4B4F" w:rsidRDefault="001F4B4F" w:rsidP="00E774E7">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63.6</w:t>
            </w:r>
          </w:p>
        </w:tc>
      </w:tr>
      <w:tr w:rsidR="00562626" w14:paraId="42AABB5B" w14:textId="0A2E7E82" w:rsidTr="007948EE">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3D1AAF14" w14:textId="073683ED" w:rsidR="001F4B4F" w:rsidRPr="00926EB2" w:rsidRDefault="001F4B4F" w:rsidP="001F4B4F">
            <w:pPr>
              <w:pStyle w:val="TableLeftText"/>
              <w:rPr>
                <w:sz w:val="18"/>
                <w:szCs w:val="18"/>
              </w:rPr>
            </w:pPr>
            <w:r>
              <w:rPr>
                <w:sz w:val="18"/>
                <w:szCs w:val="18"/>
              </w:rPr>
              <w:t>Fuel oil #2</w:t>
            </w:r>
          </w:p>
        </w:tc>
        <w:tc>
          <w:tcPr>
            <w:tcW w:w="147" w:type="pct"/>
            <w:shd w:val="clear" w:color="auto" w:fill="FFFFFF" w:themeFill="background1"/>
          </w:tcPr>
          <w:p w14:paraId="5820404B" w14:textId="0E73F704"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83.4</w:t>
            </w:r>
          </w:p>
        </w:tc>
        <w:tc>
          <w:tcPr>
            <w:tcW w:w="147" w:type="pct"/>
            <w:shd w:val="clear" w:color="auto" w:fill="FFFFFF" w:themeFill="background1"/>
          </w:tcPr>
          <w:p w14:paraId="7043D24A" w14:textId="11D80216"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83.4</w:t>
            </w:r>
          </w:p>
        </w:tc>
        <w:tc>
          <w:tcPr>
            <w:tcW w:w="147" w:type="pct"/>
            <w:shd w:val="clear" w:color="auto" w:fill="FFFFFF" w:themeFill="background1"/>
          </w:tcPr>
          <w:p w14:paraId="7AF2532B" w14:textId="26D4D139"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83.5</w:t>
            </w:r>
          </w:p>
        </w:tc>
        <w:tc>
          <w:tcPr>
            <w:tcW w:w="147" w:type="pct"/>
            <w:shd w:val="clear" w:color="auto" w:fill="FFFFFF" w:themeFill="background1"/>
          </w:tcPr>
          <w:p w14:paraId="070FA66B" w14:textId="4D6B3945"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83.5</w:t>
            </w:r>
          </w:p>
        </w:tc>
        <w:tc>
          <w:tcPr>
            <w:tcW w:w="147" w:type="pct"/>
            <w:shd w:val="clear" w:color="auto" w:fill="FFFFFF" w:themeFill="background1"/>
          </w:tcPr>
          <w:p w14:paraId="7E700001" w14:textId="2580E36F"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83.5</w:t>
            </w:r>
          </w:p>
        </w:tc>
        <w:tc>
          <w:tcPr>
            <w:tcW w:w="147" w:type="pct"/>
            <w:shd w:val="clear" w:color="auto" w:fill="FFFFFF" w:themeFill="background1"/>
          </w:tcPr>
          <w:p w14:paraId="29BD1BDA" w14:textId="5CA1EB38"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cs="Calibri"/>
                <w:color w:val="4A4D56"/>
                <w:sz w:val="18"/>
                <w:szCs w:val="18"/>
              </w:rPr>
            </w:pPr>
            <w:r w:rsidRPr="001F4B4F">
              <w:rPr>
                <w:rFonts w:cs="Calibri"/>
                <w:color w:val="4A4D56"/>
              </w:rPr>
              <w:t>83.5</w:t>
            </w:r>
          </w:p>
        </w:tc>
        <w:tc>
          <w:tcPr>
            <w:tcW w:w="147" w:type="pct"/>
            <w:shd w:val="clear" w:color="auto" w:fill="FFFFFF" w:themeFill="background1"/>
          </w:tcPr>
          <w:p w14:paraId="07323F73" w14:textId="4AC9B1A3"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83.5</w:t>
            </w:r>
          </w:p>
        </w:tc>
        <w:tc>
          <w:tcPr>
            <w:tcW w:w="147" w:type="pct"/>
            <w:shd w:val="clear" w:color="auto" w:fill="FFFFFF" w:themeFill="background1"/>
          </w:tcPr>
          <w:p w14:paraId="71434A6C" w14:textId="36B0A271"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82.9</w:t>
            </w:r>
          </w:p>
        </w:tc>
        <w:tc>
          <w:tcPr>
            <w:tcW w:w="147" w:type="pct"/>
            <w:shd w:val="clear" w:color="auto" w:fill="FFFFFF" w:themeFill="background1"/>
          </w:tcPr>
          <w:p w14:paraId="4BC65AED" w14:textId="315495EE"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82.9</w:t>
            </w:r>
          </w:p>
        </w:tc>
        <w:tc>
          <w:tcPr>
            <w:tcW w:w="147" w:type="pct"/>
            <w:shd w:val="clear" w:color="auto" w:fill="FFFFFF" w:themeFill="background1"/>
          </w:tcPr>
          <w:p w14:paraId="5B805A58" w14:textId="15088CE0"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82.9</w:t>
            </w:r>
          </w:p>
        </w:tc>
        <w:tc>
          <w:tcPr>
            <w:tcW w:w="147" w:type="pct"/>
            <w:shd w:val="clear" w:color="auto" w:fill="FFFFFF" w:themeFill="background1"/>
          </w:tcPr>
          <w:p w14:paraId="683C15B8" w14:textId="041136CF"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82.9</w:t>
            </w:r>
          </w:p>
        </w:tc>
        <w:tc>
          <w:tcPr>
            <w:tcW w:w="147" w:type="pct"/>
            <w:shd w:val="clear" w:color="auto" w:fill="FFFFFF" w:themeFill="background1"/>
          </w:tcPr>
          <w:p w14:paraId="56E24CD7" w14:textId="237056FA"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82.9</w:t>
            </w:r>
          </w:p>
        </w:tc>
        <w:tc>
          <w:tcPr>
            <w:tcW w:w="147" w:type="pct"/>
            <w:shd w:val="clear" w:color="auto" w:fill="FFFFFF" w:themeFill="background1"/>
          </w:tcPr>
          <w:p w14:paraId="11795B94" w14:textId="27C57C01"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82.8</w:t>
            </w:r>
          </w:p>
        </w:tc>
        <w:tc>
          <w:tcPr>
            <w:tcW w:w="147" w:type="pct"/>
            <w:shd w:val="clear" w:color="auto" w:fill="FFFFFF" w:themeFill="background1"/>
          </w:tcPr>
          <w:p w14:paraId="73E3C931" w14:textId="5E32FB44"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82.8</w:t>
            </w:r>
          </w:p>
        </w:tc>
        <w:tc>
          <w:tcPr>
            <w:tcW w:w="147" w:type="pct"/>
            <w:shd w:val="clear" w:color="auto" w:fill="FFFFFF" w:themeFill="background1"/>
          </w:tcPr>
          <w:p w14:paraId="2F4DBD6E" w14:textId="64DE55CA"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82.8</w:t>
            </w:r>
          </w:p>
        </w:tc>
        <w:tc>
          <w:tcPr>
            <w:tcW w:w="147" w:type="pct"/>
            <w:shd w:val="clear" w:color="auto" w:fill="FFFFFF" w:themeFill="background1"/>
          </w:tcPr>
          <w:p w14:paraId="2D3E1622" w14:textId="408E0A6A"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82.8</w:t>
            </w:r>
          </w:p>
        </w:tc>
        <w:tc>
          <w:tcPr>
            <w:tcW w:w="147" w:type="pct"/>
            <w:shd w:val="clear" w:color="auto" w:fill="FFFFFF" w:themeFill="background1"/>
          </w:tcPr>
          <w:p w14:paraId="75AAD961" w14:textId="24324ACB"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82.8</w:t>
            </w:r>
          </w:p>
        </w:tc>
        <w:tc>
          <w:tcPr>
            <w:tcW w:w="147" w:type="pct"/>
            <w:shd w:val="clear" w:color="auto" w:fill="FFFFFF" w:themeFill="background1"/>
          </w:tcPr>
          <w:p w14:paraId="358AE6C7" w14:textId="386C0FC2"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82.8</w:t>
            </w:r>
          </w:p>
        </w:tc>
        <w:tc>
          <w:tcPr>
            <w:tcW w:w="147" w:type="pct"/>
            <w:shd w:val="clear" w:color="auto" w:fill="FFFFFF" w:themeFill="background1"/>
          </w:tcPr>
          <w:p w14:paraId="423D704E" w14:textId="24A5604B"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82.8</w:t>
            </w:r>
          </w:p>
        </w:tc>
        <w:tc>
          <w:tcPr>
            <w:tcW w:w="147" w:type="pct"/>
            <w:shd w:val="clear" w:color="auto" w:fill="FFFFFF" w:themeFill="background1"/>
          </w:tcPr>
          <w:p w14:paraId="40B21909" w14:textId="776BD66A"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82.8</w:t>
            </w:r>
          </w:p>
        </w:tc>
        <w:tc>
          <w:tcPr>
            <w:tcW w:w="147" w:type="pct"/>
            <w:shd w:val="clear" w:color="auto" w:fill="FFFFFF" w:themeFill="background1"/>
          </w:tcPr>
          <w:p w14:paraId="1233F386" w14:textId="7F0D910C"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82.8</w:t>
            </w:r>
          </w:p>
        </w:tc>
        <w:tc>
          <w:tcPr>
            <w:tcW w:w="147" w:type="pct"/>
            <w:shd w:val="clear" w:color="auto" w:fill="FFFFFF" w:themeFill="background1"/>
          </w:tcPr>
          <w:p w14:paraId="1EE45184" w14:textId="468272F8"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82.8</w:t>
            </w:r>
          </w:p>
        </w:tc>
        <w:tc>
          <w:tcPr>
            <w:tcW w:w="147" w:type="pct"/>
            <w:shd w:val="clear" w:color="auto" w:fill="FFFFFF" w:themeFill="background1"/>
          </w:tcPr>
          <w:p w14:paraId="5DEAB7E3" w14:textId="15816671"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82.8</w:t>
            </w:r>
          </w:p>
        </w:tc>
        <w:tc>
          <w:tcPr>
            <w:tcW w:w="147" w:type="pct"/>
            <w:shd w:val="clear" w:color="auto" w:fill="FFFFFF" w:themeFill="background1"/>
          </w:tcPr>
          <w:p w14:paraId="60ECA4F7" w14:textId="2043C86E"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82.8</w:t>
            </w:r>
          </w:p>
        </w:tc>
        <w:tc>
          <w:tcPr>
            <w:tcW w:w="147" w:type="pct"/>
            <w:shd w:val="clear" w:color="auto" w:fill="FFFFFF" w:themeFill="background1"/>
          </w:tcPr>
          <w:p w14:paraId="7F392F10" w14:textId="636CF375"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82.8</w:t>
            </w:r>
          </w:p>
        </w:tc>
        <w:tc>
          <w:tcPr>
            <w:tcW w:w="147" w:type="pct"/>
            <w:shd w:val="clear" w:color="auto" w:fill="FFFFFF" w:themeFill="background1"/>
          </w:tcPr>
          <w:p w14:paraId="29236E80" w14:textId="65C4C4FD"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82.8</w:t>
            </w:r>
          </w:p>
        </w:tc>
        <w:tc>
          <w:tcPr>
            <w:tcW w:w="147" w:type="pct"/>
            <w:shd w:val="clear" w:color="auto" w:fill="FFFFFF" w:themeFill="background1"/>
          </w:tcPr>
          <w:p w14:paraId="1C36D16D" w14:textId="48C616EB"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82.8</w:t>
            </w:r>
          </w:p>
        </w:tc>
        <w:tc>
          <w:tcPr>
            <w:tcW w:w="148" w:type="pct"/>
            <w:shd w:val="clear" w:color="auto" w:fill="FFFFFF" w:themeFill="background1"/>
          </w:tcPr>
          <w:p w14:paraId="56A1FCC4" w14:textId="726A1C9F"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82.7</w:t>
            </w:r>
          </w:p>
        </w:tc>
      </w:tr>
      <w:tr w:rsidR="00562626" w14:paraId="36BBF0AA" w14:textId="110265C1" w:rsidTr="00E86632">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2AE27770" w14:textId="062F84CF" w:rsidR="00C27B1A" w:rsidRPr="00926EB2" w:rsidRDefault="00C27B1A" w:rsidP="00C27B1A">
            <w:pPr>
              <w:pStyle w:val="TableLeftText"/>
              <w:rPr>
                <w:sz w:val="18"/>
                <w:szCs w:val="18"/>
              </w:rPr>
            </w:pPr>
            <w:r w:rsidRPr="00926EB2">
              <w:rPr>
                <w:sz w:val="18"/>
                <w:szCs w:val="18"/>
              </w:rPr>
              <w:t>Propane</w:t>
            </w:r>
          </w:p>
        </w:tc>
        <w:tc>
          <w:tcPr>
            <w:tcW w:w="147" w:type="pct"/>
            <w:shd w:val="clear" w:color="auto" w:fill="FFFFFF" w:themeFill="background1"/>
          </w:tcPr>
          <w:p w14:paraId="49A287F9" w14:textId="7F3A5DC6"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73.3</w:t>
            </w:r>
          </w:p>
        </w:tc>
        <w:tc>
          <w:tcPr>
            <w:tcW w:w="147" w:type="pct"/>
            <w:shd w:val="clear" w:color="auto" w:fill="FFFFFF" w:themeFill="background1"/>
          </w:tcPr>
          <w:p w14:paraId="6967F30D" w14:textId="2F3178AE"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73.7</w:t>
            </w:r>
          </w:p>
        </w:tc>
        <w:tc>
          <w:tcPr>
            <w:tcW w:w="147" w:type="pct"/>
            <w:shd w:val="clear" w:color="auto" w:fill="FFFFFF" w:themeFill="background1"/>
          </w:tcPr>
          <w:p w14:paraId="2ECF1C5F" w14:textId="5AC495E9"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73.8</w:t>
            </w:r>
          </w:p>
        </w:tc>
        <w:tc>
          <w:tcPr>
            <w:tcW w:w="147" w:type="pct"/>
            <w:shd w:val="clear" w:color="auto" w:fill="FFFFFF" w:themeFill="background1"/>
          </w:tcPr>
          <w:p w14:paraId="0039C5A0" w14:textId="2652BC0B"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73.6</w:t>
            </w:r>
          </w:p>
        </w:tc>
        <w:tc>
          <w:tcPr>
            <w:tcW w:w="147" w:type="pct"/>
            <w:shd w:val="clear" w:color="auto" w:fill="FFFFFF" w:themeFill="background1"/>
          </w:tcPr>
          <w:p w14:paraId="435F4652" w14:textId="060CA26B"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73.6</w:t>
            </w:r>
          </w:p>
        </w:tc>
        <w:tc>
          <w:tcPr>
            <w:tcW w:w="147" w:type="pct"/>
            <w:shd w:val="clear" w:color="auto" w:fill="FFFFFF" w:themeFill="background1"/>
          </w:tcPr>
          <w:p w14:paraId="39197E4C" w14:textId="29E666C8"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73.6</w:t>
            </w:r>
          </w:p>
        </w:tc>
        <w:tc>
          <w:tcPr>
            <w:tcW w:w="147" w:type="pct"/>
            <w:shd w:val="clear" w:color="auto" w:fill="FFFFFF" w:themeFill="background1"/>
          </w:tcPr>
          <w:p w14:paraId="28E21CB5" w14:textId="6BF1D21F"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73.6</w:t>
            </w:r>
          </w:p>
        </w:tc>
        <w:tc>
          <w:tcPr>
            <w:tcW w:w="147" w:type="pct"/>
            <w:shd w:val="clear" w:color="auto" w:fill="FFFFFF" w:themeFill="background1"/>
          </w:tcPr>
          <w:p w14:paraId="1987FA44" w14:textId="013BF00A"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73.6</w:t>
            </w:r>
          </w:p>
        </w:tc>
        <w:tc>
          <w:tcPr>
            <w:tcW w:w="147" w:type="pct"/>
            <w:shd w:val="clear" w:color="auto" w:fill="FFFFFF" w:themeFill="background1"/>
          </w:tcPr>
          <w:p w14:paraId="3F2F56D1" w14:textId="5375560F"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73.6</w:t>
            </w:r>
          </w:p>
        </w:tc>
        <w:tc>
          <w:tcPr>
            <w:tcW w:w="147" w:type="pct"/>
            <w:shd w:val="clear" w:color="auto" w:fill="FFFFFF" w:themeFill="background1"/>
          </w:tcPr>
          <w:p w14:paraId="15BBF17F" w14:textId="00BA2E9C"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73.6</w:t>
            </w:r>
          </w:p>
        </w:tc>
        <w:tc>
          <w:tcPr>
            <w:tcW w:w="147" w:type="pct"/>
            <w:shd w:val="clear" w:color="auto" w:fill="FFFFFF" w:themeFill="background1"/>
          </w:tcPr>
          <w:p w14:paraId="58F2E892" w14:textId="27E880E6"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73.6</w:t>
            </w:r>
          </w:p>
        </w:tc>
        <w:tc>
          <w:tcPr>
            <w:tcW w:w="147" w:type="pct"/>
            <w:shd w:val="clear" w:color="auto" w:fill="FFFFFF" w:themeFill="background1"/>
          </w:tcPr>
          <w:p w14:paraId="220F0EEA" w14:textId="77F99880"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73.2</w:t>
            </w:r>
          </w:p>
        </w:tc>
        <w:tc>
          <w:tcPr>
            <w:tcW w:w="147" w:type="pct"/>
            <w:shd w:val="clear" w:color="auto" w:fill="FFFFFF" w:themeFill="background1"/>
          </w:tcPr>
          <w:p w14:paraId="584EFB53" w14:textId="1912B4C0"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73.2</w:t>
            </w:r>
          </w:p>
        </w:tc>
        <w:tc>
          <w:tcPr>
            <w:tcW w:w="147" w:type="pct"/>
            <w:shd w:val="clear" w:color="auto" w:fill="FFFFFF" w:themeFill="background1"/>
          </w:tcPr>
          <w:p w14:paraId="15DBAB41" w14:textId="6D9B55A0"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73.2</w:t>
            </w:r>
          </w:p>
        </w:tc>
        <w:tc>
          <w:tcPr>
            <w:tcW w:w="147" w:type="pct"/>
            <w:shd w:val="clear" w:color="auto" w:fill="FFFFFF" w:themeFill="background1"/>
          </w:tcPr>
          <w:p w14:paraId="56D3A062" w14:textId="1A2D505B"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73.2</w:t>
            </w:r>
          </w:p>
        </w:tc>
        <w:tc>
          <w:tcPr>
            <w:tcW w:w="147" w:type="pct"/>
            <w:shd w:val="clear" w:color="auto" w:fill="FFFFFF" w:themeFill="background1"/>
          </w:tcPr>
          <w:p w14:paraId="5D26E024" w14:textId="0E2BA6AB"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73.2</w:t>
            </w:r>
          </w:p>
        </w:tc>
        <w:tc>
          <w:tcPr>
            <w:tcW w:w="147" w:type="pct"/>
            <w:shd w:val="clear" w:color="auto" w:fill="FFFFFF" w:themeFill="background1"/>
          </w:tcPr>
          <w:p w14:paraId="76ED8572" w14:textId="5E2F257E"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73.1</w:t>
            </w:r>
          </w:p>
        </w:tc>
        <w:tc>
          <w:tcPr>
            <w:tcW w:w="147" w:type="pct"/>
            <w:shd w:val="clear" w:color="auto" w:fill="FFFFFF" w:themeFill="background1"/>
          </w:tcPr>
          <w:p w14:paraId="7FC8D294" w14:textId="083B0F47"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73.1</w:t>
            </w:r>
          </w:p>
        </w:tc>
        <w:tc>
          <w:tcPr>
            <w:tcW w:w="147" w:type="pct"/>
            <w:shd w:val="clear" w:color="auto" w:fill="FFFFFF" w:themeFill="background1"/>
          </w:tcPr>
          <w:p w14:paraId="076EEA9E" w14:textId="2DAAEB2F"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73.1</w:t>
            </w:r>
          </w:p>
        </w:tc>
        <w:tc>
          <w:tcPr>
            <w:tcW w:w="147" w:type="pct"/>
            <w:shd w:val="clear" w:color="auto" w:fill="FFFFFF" w:themeFill="background1"/>
          </w:tcPr>
          <w:p w14:paraId="79F68D43" w14:textId="43AB886C"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73.1</w:t>
            </w:r>
          </w:p>
        </w:tc>
        <w:tc>
          <w:tcPr>
            <w:tcW w:w="147" w:type="pct"/>
            <w:shd w:val="clear" w:color="auto" w:fill="FFFFFF" w:themeFill="background1"/>
          </w:tcPr>
          <w:p w14:paraId="47FE6AA2" w14:textId="0260A80F"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73.1</w:t>
            </w:r>
          </w:p>
        </w:tc>
        <w:tc>
          <w:tcPr>
            <w:tcW w:w="147" w:type="pct"/>
            <w:shd w:val="clear" w:color="auto" w:fill="FFFFFF" w:themeFill="background1"/>
          </w:tcPr>
          <w:p w14:paraId="0C2208C3" w14:textId="3A05E14E"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73.1</w:t>
            </w:r>
          </w:p>
        </w:tc>
        <w:tc>
          <w:tcPr>
            <w:tcW w:w="147" w:type="pct"/>
            <w:shd w:val="clear" w:color="auto" w:fill="FFFFFF" w:themeFill="background1"/>
          </w:tcPr>
          <w:p w14:paraId="00694C26" w14:textId="5D736CAA"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73.1</w:t>
            </w:r>
          </w:p>
        </w:tc>
        <w:tc>
          <w:tcPr>
            <w:tcW w:w="147" w:type="pct"/>
            <w:shd w:val="clear" w:color="auto" w:fill="FFFFFF" w:themeFill="background1"/>
          </w:tcPr>
          <w:p w14:paraId="115B7845" w14:textId="531C8DFC"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73.1</w:t>
            </w:r>
          </w:p>
        </w:tc>
        <w:tc>
          <w:tcPr>
            <w:tcW w:w="147" w:type="pct"/>
            <w:shd w:val="clear" w:color="auto" w:fill="FFFFFF" w:themeFill="background1"/>
          </w:tcPr>
          <w:p w14:paraId="6792E70E" w14:textId="0ADCE849"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73.1</w:t>
            </w:r>
          </w:p>
        </w:tc>
        <w:tc>
          <w:tcPr>
            <w:tcW w:w="147" w:type="pct"/>
            <w:shd w:val="clear" w:color="auto" w:fill="FFFFFF" w:themeFill="background1"/>
          </w:tcPr>
          <w:p w14:paraId="3C369553" w14:textId="296DE190"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73.1</w:t>
            </w:r>
          </w:p>
        </w:tc>
        <w:tc>
          <w:tcPr>
            <w:tcW w:w="147" w:type="pct"/>
            <w:shd w:val="clear" w:color="auto" w:fill="FFFFFF" w:themeFill="background1"/>
          </w:tcPr>
          <w:p w14:paraId="557C43B7" w14:textId="171D766C"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73.1</w:t>
            </w:r>
          </w:p>
        </w:tc>
        <w:tc>
          <w:tcPr>
            <w:tcW w:w="148" w:type="pct"/>
            <w:shd w:val="clear" w:color="auto" w:fill="FFFFFF" w:themeFill="background1"/>
          </w:tcPr>
          <w:p w14:paraId="5EDC5FBE" w14:textId="2FFE85F2" w:rsidR="00C27B1A" w:rsidRPr="001F4B4F" w:rsidRDefault="00C27B1A" w:rsidP="00E86632">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266EC">
              <w:t>73.1</w:t>
            </w:r>
          </w:p>
        </w:tc>
      </w:tr>
      <w:tr w:rsidR="00562626" w14:paraId="33E54ED1" w14:textId="267880E9" w:rsidTr="007948EE">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630C7270" w14:textId="0F5336EA" w:rsidR="001F4B4F" w:rsidRPr="00926EB2" w:rsidRDefault="001F4B4F" w:rsidP="001F4B4F">
            <w:pPr>
              <w:pStyle w:val="TableLeftText"/>
              <w:rPr>
                <w:sz w:val="18"/>
                <w:szCs w:val="18"/>
              </w:rPr>
            </w:pPr>
            <w:r w:rsidRPr="00926EB2">
              <w:rPr>
                <w:sz w:val="18"/>
                <w:szCs w:val="18"/>
              </w:rPr>
              <w:t>Kerosene</w:t>
            </w:r>
          </w:p>
        </w:tc>
        <w:tc>
          <w:tcPr>
            <w:tcW w:w="147" w:type="pct"/>
            <w:shd w:val="clear" w:color="auto" w:fill="FFFFFF" w:themeFill="background1"/>
          </w:tcPr>
          <w:p w14:paraId="74870548" w14:textId="171B4362"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83.6</w:t>
            </w:r>
          </w:p>
        </w:tc>
        <w:tc>
          <w:tcPr>
            <w:tcW w:w="147" w:type="pct"/>
            <w:shd w:val="clear" w:color="auto" w:fill="FFFFFF" w:themeFill="background1"/>
          </w:tcPr>
          <w:p w14:paraId="71EBB4AB" w14:textId="0BF4CC4A"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83.6</w:t>
            </w:r>
          </w:p>
        </w:tc>
        <w:tc>
          <w:tcPr>
            <w:tcW w:w="147" w:type="pct"/>
            <w:shd w:val="clear" w:color="auto" w:fill="FFFFFF" w:themeFill="background1"/>
          </w:tcPr>
          <w:p w14:paraId="036A804C" w14:textId="494DE383"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83.7</w:t>
            </w:r>
          </w:p>
        </w:tc>
        <w:tc>
          <w:tcPr>
            <w:tcW w:w="147" w:type="pct"/>
            <w:shd w:val="clear" w:color="auto" w:fill="FFFFFF" w:themeFill="background1"/>
          </w:tcPr>
          <w:p w14:paraId="5EFA1C0A" w14:textId="4C1DEE02"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83.7</w:t>
            </w:r>
          </w:p>
        </w:tc>
        <w:tc>
          <w:tcPr>
            <w:tcW w:w="147" w:type="pct"/>
            <w:shd w:val="clear" w:color="auto" w:fill="FFFFFF" w:themeFill="background1"/>
          </w:tcPr>
          <w:p w14:paraId="3C129728" w14:textId="33409F44"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83.7</w:t>
            </w:r>
          </w:p>
        </w:tc>
        <w:tc>
          <w:tcPr>
            <w:tcW w:w="147" w:type="pct"/>
            <w:shd w:val="clear" w:color="auto" w:fill="FFFFFF" w:themeFill="background1"/>
          </w:tcPr>
          <w:p w14:paraId="303DA61C" w14:textId="512AB3B1"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83.7</w:t>
            </w:r>
          </w:p>
        </w:tc>
        <w:tc>
          <w:tcPr>
            <w:tcW w:w="147" w:type="pct"/>
            <w:shd w:val="clear" w:color="auto" w:fill="FFFFFF" w:themeFill="background1"/>
          </w:tcPr>
          <w:p w14:paraId="55541981" w14:textId="6E3C6BC8"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83.7</w:t>
            </w:r>
          </w:p>
        </w:tc>
        <w:tc>
          <w:tcPr>
            <w:tcW w:w="147" w:type="pct"/>
            <w:shd w:val="clear" w:color="auto" w:fill="FFFFFF" w:themeFill="background1"/>
          </w:tcPr>
          <w:p w14:paraId="4D5F22FF" w14:textId="1EFFD9BC"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83.1</w:t>
            </w:r>
          </w:p>
        </w:tc>
        <w:tc>
          <w:tcPr>
            <w:tcW w:w="147" w:type="pct"/>
            <w:shd w:val="clear" w:color="auto" w:fill="FFFFFF" w:themeFill="background1"/>
          </w:tcPr>
          <w:p w14:paraId="3052278B" w14:textId="5850C15C"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83.1</w:t>
            </w:r>
          </w:p>
        </w:tc>
        <w:tc>
          <w:tcPr>
            <w:tcW w:w="147" w:type="pct"/>
            <w:shd w:val="clear" w:color="auto" w:fill="FFFFFF" w:themeFill="background1"/>
          </w:tcPr>
          <w:p w14:paraId="51CDB0C0" w14:textId="2D16CBE0"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83.1</w:t>
            </w:r>
          </w:p>
        </w:tc>
        <w:tc>
          <w:tcPr>
            <w:tcW w:w="147" w:type="pct"/>
            <w:shd w:val="clear" w:color="auto" w:fill="FFFFFF" w:themeFill="background1"/>
          </w:tcPr>
          <w:p w14:paraId="6CFAD1BC" w14:textId="5E9827F7"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83.1</w:t>
            </w:r>
          </w:p>
        </w:tc>
        <w:tc>
          <w:tcPr>
            <w:tcW w:w="147" w:type="pct"/>
            <w:shd w:val="clear" w:color="auto" w:fill="FFFFFF" w:themeFill="background1"/>
          </w:tcPr>
          <w:p w14:paraId="481A4C13" w14:textId="0E421589"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83.1</w:t>
            </w:r>
          </w:p>
        </w:tc>
        <w:tc>
          <w:tcPr>
            <w:tcW w:w="147" w:type="pct"/>
            <w:shd w:val="clear" w:color="auto" w:fill="FFFFFF" w:themeFill="background1"/>
          </w:tcPr>
          <w:p w14:paraId="728DA28D" w14:textId="1840E457"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83.0</w:t>
            </w:r>
          </w:p>
        </w:tc>
        <w:tc>
          <w:tcPr>
            <w:tcW w:w="147" w:type="pct"/>
            <w:shd w:val="clear" w:color="auto" w:fill="FFFFFF" w:themeFill="background1"/>
          </w:tcPr>
          <w:p w14:paraId="6B802552" w14:textId="0C84A098"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83.0</w:t>
            </w:r>
          </w:p>
        </w:tc>
        <w:tc>
          <w:tcPr>
            <w:tcW w:w="147" w:type="pct"/>
            <w:shd w:val="clear" w:color="auto" w:fill="FFFFFF" w:themeFill="background1"/>
          </w:tcPr>
          <w:p w14:paraId="5D04E8B0" w14:textId="5711A987"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83.0</w:t>
            </w:r>
          </w:p>
        </w:tc>
        <w:tc>
          <w:tcPr>
            <w:tcW w:w="147" w:type="pct"/>
            <w:shd w:val="clear" w:color="auto" w:fill="FFFFFF" w:themeFill="background1"/>
          </w:tcPr>
          <w:p w14:paraId="64A32957" w14:textId="5BA196BA"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83.0</w:t>
            </w:r>
          </w:p>
        </w:tc>
        <w:tc>
          <w:tcPr>
            <w:tcW w:w="147" w:type="pct"/>
            <w:shd w:val="clear" w:color="auto" w:fill="FFFFFF" w:themeFill="background1"/>
          </w:tcPr>
          <w:p w14:paraId="5BC9C21B" w14:textId="612052FB"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83.0</w:t>
            </w:r>
          </w:p>
        </w:tc>
        <w:tc>
          <w:tcPr>
            <w:tcW w:w="147" w:type="pct"/>
            <w:shd w:val="clear" w:color="auto" w:fill="FFFFFF" w:themeFill="background1"/>
          </w:tcPr>
          <w:p w14:paraId="1088A696" w14:textId="301C593A"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83.0</w:t>
            </w:r>
          </w:p>
        </w:tc>
        <w:tc>
          <w:tcPr>
            <w:tcW w:w="147" w:type="pct"/>
            <w:shd w:val="clear" w:color="auto" w:fill="FFFFFF" w:themeFill="background1"/>
          </w:tcPr>
          <w:p w14:paraId="13702ABC" w14:textId="4A97CB14"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83.0</w:t>
            </w:r>
          </w:p>
        </w:tc>
        <w:tc>
          <w:tcPr>
            <w:tcW w:w="147" w:type="pct"/>
            <w:shd w:val="clear" w:color="auto" w:fill="FFFFFF" w:themeFill="background1"/>
          </w:tcPr>
          <w:p w14:paraId="72EE51BD" w14:textId="3C56A345"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83.0</w:t>
            </w:r>
          </w:p>
        </w:tc>
        <w:tc>
          <w:tcPr>
            <w:tcW w:w="147" w:type="pct"/>
            <w:shd w:val="clear" w:color="auto" w:fill="FFFFFF" w:themeFill="background1"/>
          </w:tcPr>
          <w:p w14:paraId="384B0543" w14:textId="62C26236"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83.0</w:t>
            </w:r>
          </w:p>
        </w:tc>
        <w:tc>
          <w:tcPr>
            <w:tcW w:w="147" w:type="pct"/>
            <w:shd w:val="clear" w:color="auto" w:fill="FFFFFF" w:themeFill="background1"/>
          </w:tcPr>
          <w:p w14:paraId="658F9B60" w14:textId="563E8AC8"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83.0</w:t>
            </w:r>
          </w:p>
        </w:tc>
        <w:tc>
          <w:tcPr>
            <w:tcW w:w="147" w:type="pct"/>
            <w:shd w:val="clear" w:color="auto" w:fill="FFFFFF" w:themeFill="background1"/>
          </w:tcPr>
          <w:p w14:paraId="1156C59B" w14:textId="385EFA57"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83.0</w:t>
            </w:r>
          </w:p>
        </w:tc>
        <w:tc>
          <w:tcPr>
            <w:tcW w:w="147" w:type="pct"/>
            <w:shd w:val="clear" w:color="auto" w:fill="FFFFFF" w:themeFill="background1"/>
          </w:tcPr>
          <w:p w14:paraId="09FD1795" w14:textId="2EB6B3B9"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83.0</w:t>
            </w:r>
          </w:p>
        </w:tc>
        <w:tc>
          <w:tcPr>
            <w:tcW w:w="147" w:type="pct"/>
            <w:shd w:val="clear" w:color="auto" w:fill="FFFFFF" w:themeFill="background1"/>
          </w:tcPr>
          <w:p w14:paraId="152C9334" w14:textId="32198B10"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83.0</w:t>
            </w:r>
          </w:p>
        </w:tc>
        <w:tc>
          <w:tcPr>
            <w:tcW w:w="147" w:type="pct"/>
            <w:shd w:val="clear" w:color="auto" w:fill="FFFFFF" w:themeFill="background1"/>
          </w:tcPr>
          <w:p w14:paraId="6030CD0C" w14:textId="18F8A9E6"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83.0</w:t>
            </w:r>
          </w:p>
        </w:tc>
        <w:tc>
          <w:tcPr>
            <w:tcW w:w="147" w:type="pct"/>
            <w:shd w:val="clear" w:color="auto" w:fill="FFFFFF" w:themeFill="background1"/>
          </w:tcPr>
          <w:p w14:paraId="45208522" w14:textId="169AA22A"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83.0</w:t>
            </w:r>
          </w:p>
        </w:tc>
        <w:tc>
          <w:tcPr>
            <w:tcW w:w="148" w:type="pct"/>
            <w:shd w:val="clear" w:color="auto" w:fill="FFFFFF" w:themeFill="background1"/>
          </w:tcPr>
          <w:p w14:paraId="17F27CBC" w14:textId="454BF548"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82.9</w:t>
            </w:r>
          </w:p>
        </w:tc>
      </w:tr>
      <w:tr w:rsidR="00562626" w14:paraId="5512BAEB" w14:textId="77777777" w:rsidTr="007948EE">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324A2860" w14:textId="038264A8" w:rsidR="00C27B1A" w:rsidRPr="00926EB2" w:rsidRDefault="00C27B1A" w:rsidP="00C27B1A">
            <w:pPr>
              <w:pStyle w:val="TableLeftText"/>
              <w:rPr>
                <w:sz w:val="18"/>
                <w:szCs w:val="18"/>
              </w:rPr>
            </w:pPr>
            <w:r>
              <w:rPr>
                <w:sz w:val="18"/>
                <w:szCs w:val="18"/>
              </w:rPr>
              <w:t>Coal</w:t>
            </w:r>
          </w:p>
        </w:tc>
        <w:tc>
          <w:tcPr>
            <w:tcW w:w="147" w:type="pct"/>
            <w:shd w:val="clear" w:color="auto" w:fill="FFFFFF" w:themeFill="background1"/>
          </w:tcPr>
          <w:p w14:paraId="61FBC6A9" w14:textId="29DE0A2E"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94.6</w:t>
            </w:r>
          </w:p>
        </w:tc>
        <w:tc>
          <w:tcPr>
            <w:tcW w:w="147" w:type="pct"/>
            <w:shd w:val="clear" w:color="auto" w:fill="FFFFFF" w:themeFill="background1"/>
          </w:tcPr>
          <w:p w14:paraId="13012ECB" w14:textId="46395B74"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94.6</w:t>
            </w:r>
          </w:p>
        </w:tc>
        <w:tc>
          <w:tcPr>
            <w:tcW w:w="147" w:type="pct"/>
            <w:shd w:val="clear" w:color="auto" w:fill="FFFFFF" w:themeFill="background1"/>
          </w:tcPr>
          <w:p w14:paraId="2F6CDCB7" w14:textId="21765BB1"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94.5</w:t>
            </w:r>
          </w:p>
        </w:tc>
        <w:tc>
          <w:tcPr>
            <w:tcW w:w="147" w:type="pct"/>
            <w:shd w:val="clear" w:color="auto" w:fill="FFFFFF" w:themeFill="background1"/>
          </w:tcPr>
          <w:p w14:paraId="7E5C3071" w14:textId="54A85404"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94.5</w:t>
            </w:r>
          </w:p>
        </w:tc>
        <w:tc>
          <w:tcPr>
            <w:tcW w:w="147" w:type="pct"/>
            <w:shd w:val="clear" w:color="auto" w:fill="FFFFFF" w:themeFill="background1"/>
          </w:tcPr>
          <w:p w14:paraId="31BB68B2" w14:textId="58ABF891"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94.5</w:t>
            </w:r>
          </w:p>
        </w:tc>
        <w:tc>
          <w:tcPr>
            <w:tcW w:w="147" w:type="pct"/>
            <w:shd w:val="clear" w:color="auto" w:fill="FFFFFF" w:themeFill="background1"/>
          </w:tcPr>
          <w:p w14:paraId="7DAC4210" w14:textId="586BA7B8"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94.5</w:t>
            </w:r>
          </w:p>
        </w:tc>
        <w:tc>
          <w:tcPr>
            <w:tcW w:w="147" w:type="pct"/>
            <w:shd w:val="clear" w:color="auto" w:fill="FFFFFF" w:themeFill="background1"/>
          </w:tcPr>
          <w:p w14:paraId="546F5201" w14:textId="350E1DE7"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94.5</w:t>
            </w:r>
          </w:p>
        </w:tc>
        <w:tc>
          <w:tcPr>
            <w:tcW w:w="147" w:type="pct"/>
            <w:shd w:val="clear" w:color="auto" w:fill="FFFFFF" w:themeFill="background1"/>
          </w:tcPr>
          <w:p w14:paraId="4DA9C34F" w14:textId="799DFB82"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94.5</w:t>
            </w:r>
          </w:p>
        </w:tc>
        <w:tc>
          <w:tcPr>
            <w:tcW w:w="147" w:type="pct"/>
            <w:shd w:val="clear" w:color="auto" w:fill="FFFFFF" w:themeFill="background1"/>
          </w:tcPr>
          <w:p w14:paraId="04B68A77" w14:textId="3CC6AD34"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94.5</w:t>
            </w:r>
          </w:p>
        </w:tc>
        <w:tc>
          <w:tcPr>
            <w:tcW w:w="147" w:type="pct"/>
            <w:shd w:val="clear" w:color="auto" w:fill="FFFFFF" w:themeFill="background1"/>
          </w:tcPr>
          <w:p w14:paraId="69EAA5C2" w14:textId="2CEF6AD9"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94.5</w:t>
            </w:r>
          </w:p>
        </w:tc>
        <w:tc>
          <w:tcPr>
            <w:tcW w:w="147" w:type="pct"/>
            <w:shd w:val="clear" w:color="auto" w:fill="FFFFFF" w:themeFill="background1"/>
          </w:tcPr>
          <w:p w14:paraId="69E5FBF6" w14:textId="77E2E131"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94.5</w:t>
            </w:r>
          </w:p>
        </w:tc>
        <w:tc>
          <w:tcPr>
            <w:tcW w:w="147" w:type="pct"/>
            <w:shd w:val="clear" w:color="auto" w:fill="FFFFFF" w:themeFill="background1"/>
          </w:tcPr>
          <w:p w14:paraId="36FFE934" w14:textId="55E61740"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94.5</w:t>
            </w:r>
          </w:p>
        </w:tc>
        <w:tc>
          <w:tcPr>
            <w:tcW w:w="147" w:type="pct"/>
            <w:shd w:val="clear" w:color="auto" w:fill="FFFFFF" w:themeFill="background1"/>
          </w:tcPr>
          <w:p w14:paraId="12A24BC1" w14:textId="7716D53A"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94.4</w:t>
            </w:r>
          </w:p>
        </w:tc>
        <w:tc>
          <w:tcPr>
            <w:tcW w:w="147" w:type="pct"/>
            <w:shd w:val="clear" w:color="auto" w:fill="FFFFFF" w:themeFill="background1"/>
          </w:tcPr>
          <w:p w14:paraId="7740F91C" w14:textId="41FF1040"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94.4</w:t>
            </w:r>
          </w:p>
        </w:tc>
        <w:tc>
          <w:tcPr>
            <w:tcW w:w="147" w:type="pct"/>
            <w:shd w:val="clear" w:color="auto" w:fill="FFFFFF" w:themeFill="background1"/>
          </w:tcPr>
          <w:p w14:paraId="12A1AAC0" w14:textId="711F3C97"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94.4</w:t>
            </w:r>
          </w:p>
        </w:tc>
        <w:tc>
          <w:tcPr>
            <w:tcW w:w="147" w:type="pct"/>
            <w:shd w:val="clear" w:color="auto" w:fill="FFFFFF" w:themeFill="background1"/>
          </w:tcPr>
          <w:p w14:paraId="5F2039BA" w14:textId="566468C9"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94.4</w:t>
            </w:r>
          </w:p>
        </w:tc>
        <w:tc>
          <w:tcPr>
            <w:tcW w:w="147" w:type="pct"/>
            <w:shd w:val="clear" w:color="auto" w:fill="FFFFFF" w:themeFill="background1"/>
          </w:tcPr>
          <w:p w14:paraId="72537453" w14:textId="6514D1A4"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94.4</w:t>
            </w:r>
          </w:p>
        </w:tc>
        <w:tc>
          <w:tcPr>
            <w:tcW w:w="147" w:type="pct"/>
            <w:shd w:val="clear" w:color="auto" w:fill="FFFFFF" w:themeFill="background1"/>
          </w:tcPr>
          <w:p w14:paraId="06A2999A" w14:textId="6ABB6C9F"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94.4</w:t>
            </w:r>
          </w:p>
        </w:tc>
        <w:tc>
          <w:tcPr>
            <w:tcW w:w="147" w:type="pct"/>
            <w:shd w:val="clear" w:color="auto" w:fill="FFFFFF" w:themeFill="background1"/>
          </w:tcPr>
          <w:p w14:paraId="26EB6FC1" w14:textId="33430D1E"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94.4</w:t>
            </w:r>
          </w:p>
        </w:tc>
        <w:tc>
          <w:tcPr>
            <w:tcW w:w="147" w:type="pct"/>
            <w:shd w:val="clear" w:color="auto" w:fill="FFFFFF" w:themeFill="background1"/>
          </w:tcPr>
          <w:p w14:paraId="312B0B8B" w14:textId="2E5B0D51"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94.4</w:t>
            </w:r>
          </w:p>
        </w:tc>
        <w:tc>
          <w:tcPr>
            <w:tcW w:w="147" w:type="pct"/>
            <w:shd w:val="clear" w:color="auto" w:fill="FFFFFF" w:themeFill="background1"/>
          </w:tcPr>
          <w:p w14:paraId="5B669176" w14:textId="761AB8F6"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94.4</w:t>
            </w:r>
          </w:p>
        </w:tc>
        <w:tc>
          <w:tcPr>
            <w:tcW w:w="147" w:type="pct"/>
            <w:shd w:val="clear" w:color="auto" w:fill="FFFFFF" w:themeFill="background1"/>
          </w:tcPr>
          <w:p w14:paraId="08E73E07" w14:textId="7A369BB7"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94.4</w:t>
            </w:r>
          </w:p>
        </w:tc>
        <w:tc>
          <w:tcPr>
            <w:tcW w:w="147" w:type="pct"/>
            <w:shd w:val="clear" w:color="auto" w:fill="FFFFFF" w:themeFill="background1"/>
          </w:tcPr>
          <w:p w14:paraId="2A434412" w14:textId="1C00C07B"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94.4</w:t>
            </w:r>
          </w:p>
        </w:tc>
        <w:tc>
          <w:tcPr>
            <w:tcW w:w="147" w:type="pct"/>
            <w:shd w:val="clear" w:color="auto" w:fill="FFFFFF" w:themeFill="background1"/>
          </w:tcPr>
          <w:p w14:paraId="719742D9" w14:textId="63E4F20B"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94.4</w:t>
            </w:r>
          </w:p>
        </w:tc>
        <w:tc>
          <w:tcPr>
            <w:tcW w:w="147" w:type="pct"/>
            <w:shd w:val="clear" w:color="auto" w:fill="FFFFFF" w:themeFill="background1"/>
          </w:tcPr>
          <w:p w14:paraId="52EC76A4" w14:textId="61267526"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94.4</w:t>
            </w:r>
          </w:p>
        </w:tc>
        <w:tc>
          <w:tcPr>
            <w:tcW w:w="147" w:type="pct"/>
            <w:shd w:val="clear" w:color="auto" w:fill="FFFFFF" w:themeFill="background1"/>
          </w:tcPr>
          <w:p w14:paraId="54905C80" w14:textId="1B6914E3"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94.4</w:t>
            </w:r>
          </w:p>
        </w:tc>
        <w:tc>
          <w:tcPr>
            <w:tcW w:w="147" w:type="pct"/>
            <w:shd w:val="clear" w:color="auto" w:fill="FFFFFF" w:themeFill="background1"/>
          </w:tcPr>
          <w:p w14:paraId="41397C0F" w14:textId="29531964"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94.4</w:t>
            </w:r>
          </w:p>
        </w:tc>
        <w:tc>
          <w:tcPr>
            <w:tcW w:w="148" w:type="pct"/>
            <w:shd w:val="clear" w:color="auto" w:fill="FFFFFF" w:themeFill="background1"/>
          </w:tcPr>
          <w:p w14:paraId="555911F5" w14:textId="7401CB65" w:rsidR="00C27B1A" w:rsidRPr="001F4B4F" w:rsidRDefault="00C27B1A" w:rsidP="00C27B1A">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Pr>
                <w:rFonts w:cs="Arial"/>
                <w:color w:val="4A4D56"/>
              </w:rPr>
              <w:t>94.4</w:t>
            </w:r>
          </w:p>
        </w:tc>
      </w:tr>
      <w:tr w:rsidR="00562626" w14:paraId="44655564" w14:textId="77777777" w:rsidTr="007948EE">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5BFE62EE" w14:textId="459A3B13" w:rsidR="001F4B4F" w:rsidRPr="007948EE" w:rsidRDefault="00336D07" w:rsidP="001F4B4F">
            <w:pPr>
              <w:pStyle w:val="TableLeftText"/>
              <w:rPr>
                <w:sz w:val="18"/>
                <w:szCs w:val="18"/>
                <w:vertAlign w:val="superscript"/>
              </w:rPr>
            </w:pPr>
            <w:r w:rsidRPr="00336D07">
              <w:rPr>
                <w:sz w:val="18"/>
                <w:szCs w:val="18"/>
              </w:rPr>
              <w:t>Hydrogen from SMR</w:t>
            </w:r>
          </w:p>
        </w:tc>
        <w:tc>
          <w:tcPr>
            <w:tcW w:w="147" w:type="pct"/>
            <w:shd w:val="clear" w:color="auto" w:fill="FFFFFF" w:themeFill="background1"/>
          </w:tcPr>
          <w:p w14:paraId="01A74B1A" w14:textId="0E0DA4B3"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92.9</w:t>
            </w:r>
          </w:p>
        </w:tc>
        <w:tc>
          <w:tcPr>
            <w:tcW w:w="147" w:type="pct"/>
            <w:shd w:val="clear" w:color="auto" w:fill="FFFFFF" w:themeFill="background1"/>
          </w:tcPr>
          <w:p w14:paraId="09F8C9B0" w14:textId="3C741CD4"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92.9</w:t>
            </w:r>
          </w:p>
        </w:tc>
        <w:tc>
          <w:tcPr>
            <w:tcW w:w="147" w:type="pct"/>
            <w:shd w:val="clear" w:color="auto" w:fill="FFFFFF" w:themeFill="background1"/>
          </w:tcPr>
          <w:p w14:paraId="285E22FB" w14:textId="4D82B487"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91.1</w:t>
            </w:r>
          </w:p>
        </w:tc>
        <w:tc>
          <w:tcPr>
            <w:tcW w:w="147" w:type="pct"/>
            <w:shd w:val="clear" w:color="auto" w:fill="FFFFFF" w:themeFill="background1"/>
          </w:tcPr>
          <w:p w14:paraId="3E70C572" w14:textId="2A546BC5"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91.1</w:t>
            </w:r>
          </w:p>
        </w:tc>
        <w:tc>
          <w:tcPr>
            <w:tcW w:w="147" w:type="pct"/>
            <w:shd w:val="clear" w:color="auto" w:fill="FFFFFF" w:themeFill="background1"/>
          </w:tcPr>
          <w:p w14:paraId="075388D6" w14:textId="03B73E69"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91.1</w:t>
            </w:r>
          </w:p>
        </w:tc>
        <w:tc>
          <w:tcPr>
            <w:tcW w:w="147" w:type="pct"/>
            <w:shd w:val="clear" w:color="auto" w:fill="FFFFFF" w:themeFill="background1"/>
          </w:tcPr>
          <w:p w14:paraId="2AB53071" w14:textId="27E1ED74"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91.1</w:t>
            </w:r>
          </w:p>
        </w:tc>
        <w:tc>
          <w:tcPr>
            <w:tcW w:w="147" w:type="pct"/>
            <w:shd w:val="clear" w:color="auto" w:fill="FFFFFF" w:themeFill="background1"/>
          </w:tcPr>
          <w:p w14:paraId="04102975" w14:textId="215F5488"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91.1</w:t>
            </w:r>
          </w:p>
        </w:tc>
        <w:tc>
          <w:tcPr>
            <w:tcW w:w="147" w:type="pct"/>
            <w:shd w:val="clear" w:color="auto" w:fill="FFFFFF" w:themeFill="background1"/>
          </w:tcPr>
          <w:p w14:paraId="7B132F23" w14:textId="613AB3A1"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86.5</w:t>
            </w:r>
          </w:p>
        </w:tc>
        <w:tc>
          <w:tcPr>
            <w:tcW w:w="147" w:type="pct"/>
            <w:shd w:val="clear" w:color="auto" w:fill="FFFFFF" w:themeFill="background1"/>
          </w:tcPr>
          <w:p w14:paraId="2A04566A" w14:textId="240A199B"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86.5</w:t>
            </w:r>
          </w:p>
        </w:tc>
        <w:tc>
          <w:tcPr>
            <w:tcW w:w="147" w:type="pct"/>
            <w:shd w:val="clear" w:color="auto" w:fill="FFFFFF" w:themeFill="background1"/>
          </w:tcPr>
          <w:p w14:paraId="0373EE5D" w14:textId="32851B49"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86.5</w:t>
            </w:r>
          </w:p>
        </w:tc>
        <w:tc>
          <w:tcPr>
            <w:tcW w:w="147" w:type="pct"/>
            <w:shd w:val="clear" w:color="auto" w:fill="FFFFFF" w:themeFill="background1"/>
          </w:tcPr>
          <w:p w14:paraId="118C0EB3" w14:textId="3774A067"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86.5</w:t>
            </w:r>
          </w:p>
        </w:tc>
        <w:tc>
          <w:tcPr>
            <w:tcW w:w="147" w:type="pct"/>
            <w:shd w:val="clear" w:color="auto" w:fill="FFFFFF" w:themeFill="background1"/>
          </w:tcPr>
          <w:p w14:paraId="451CA33F" w14:textId="103A63F1"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86.5</w:t>
            </w:r>
          </w:p>
        </w:tc>
        <w:tc>
          <w:tcPr>
            <w:tcW w:w="147" w:type="pct"/>
            <w:shd w:val="clear" w:color="auto" w:fill="FFFFFF" w:themeFill="background1"/>
          </w:tcPr>
          <w:p w14:paraId="76AF86E5" w14:textId="2B18C3D5"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85.6</w:t>
            </w:r>
          </w:p>
        </w:tc>
        <w:tc>
          <w:tcPr>
            <w:tcW w:w="147" w:type="pct"/>
            <w:shd w:val="clear" w:color="auto" w:fill="FFFFFF" w:themeFill="background1"/>
          </w:tcPr>
          <w:p w14:paraId="46D6E552" w14:textId="701D8D74"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85.6</w:t>
            </w:r>
          </w:p>
        </w:tc>
        <w:tc>
          <w:tcPr>
            <w:tcW w:w="147" w:type="pct"/>
            <w:shd w:val="clear" w:color="auto" w:fill="FFFFFF" w:themeFill="background1"/>
          </w:tcPr>
          <w:p w14:paraId="3D284472" w14:textId="38C89B7E"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85.6</w:t>
            </w:r>
          </w:p>
        </w:tc>
        <w:tc>
          <w:tcPr>
            <w:tcW w:w="147" w:type="pct"/>
            <w:shd w:val="clear" w:color="auto" w:fill="FFFFFF" w:themeFill="background1"/>
          </w:tcPr>
          <w:p w14:paraId="4CD69218" w14:textId="03021076"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85.6</w:t>
            </w:r>
          </w:p>
        </w:tc>
        <w:tc>
          <w:tcPr>
            <w:tcW w:w="147" w:type="pct"/>
            <w:shd w:val="clear" w:color="auto" w:fill="FFFFFF" w:themeFill="background1"/>
          </w:tcPr>
          <w:p w14:paraId="5EAF83E6" w14:textId="013E30A0"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85.6</w:t>
            </w:r>
          </w:p>
        </w:tc>
        <w:tc>
          <w:tcPr>
            <w:tcW w:w="147" w:type="pct"/>
            <w:shd w:val="clear" w:color="auto" w:fill="FFFFFF" w:themeFill="background1"/>
          </w:tcPr>
          <w:p w14:paraId="0E63FEF3" w14:textId="49DC0E9E"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85.4</w:t>
            </w:r>
          </w:p>
        </w:tc>
        <w:tc>
          <w:tcPr>
            <w:tcW w:w="147" w:type="pct"/>
            <w:shd w:val="clear" w:color="auto" w:fill="FFFFFF" w:themeFill="background1"/>
          </w:tcPr>
          <w:p w14:paraId="2D387570" w14:textId="1A299F7B"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85.4</w:t>
            </w:r>
          </w:p>
        </w:tc>
        <w:tc>
          <w:tcPr>
            <w:tcW w:w="147" w:type="pct"/>
            <w:shd w:val="clear" w:color="auto" w:fill="FFFFFF" w:themeFill="background1"/>
          </w:tcPr>
          <w:p w14:paraId="69FE1643" w14:textId="49D8017B"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85.4</w:t>
            </w:r>
          </w:p>
        </w:tc>
        <w:tc>
          <w:tcPr>
            <w:tcW w:w="147" w:type="pct"/>
            <w:shd w:val="clear" w:color="auto" w:fill="FFFFFF" w:themeFill="background1"/>
          </w:tcPr>
          <w:p w14:paraId="53A8FA9B" w14:textId="7EBDB6AD"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85.4</w:t>
            </w:r>
          </w:p>
        </w:tc>
        <w:tc>
          <w:tcPr>
            <w:tcW w:w="147" w:type="pct"/>
            <w:shd w:val="clear" w:color="auto" w:fill="FFFFFF" w:themeFill="background1"/>
          </w:tcPr>
          <w:p w14:paraId="14A2E63A" w14:textId="4F1619BC"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85.4</w:t>
            </w:r>
          </w:p>
        </w:tc>
        <w:tc>
          <w:tcPr>
            <w:tcW w:w="147" w:type="pct"/>
            <w:shd w:val="clear" w:color="auto" w:fill="FFFFFF" w:themeFill="background1"/>
          </w:tcPr>
          <w:p w14:paraId="4866F159" w14:textId="1DE62A20"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85.2</w:t>
            </w:r>
          </w:p>
        </w:tc>
        <w:tc>
          <w:tcPr>
            <w:tcW w:w="147" w:type="pct"/>
            <w:shd w:val="clear" w:color="auto" w:fill="FFFFFF" w:themeFill="background1"/>
          </w:tcPr>
          <w:p w14:paraId="3045B89A" w14:textId="21EAC586"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85.2</w:t>
            </w:r>
          </w:p>
        </w:tc>
        <w:tc>
          <w:tcPr>
            <w:tcW w:w="147" w:type="pct"/>
            <w:shd w:val="clear" w:color="auto" w:fill="FFFFFF" w:themeFill="background1"/>
          </w:tcPr>
          <w:p w14:paraId="7DC7BA8B" w14:textId="46A86C7D"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85.2</w:t>
            </w:r>
          </w:p>
        </w:tc>
        <w:tc>
          <w:tcPr>
            <w:tcW w:w="147" w:type="pct"/>
            <w:shd w:val="clear" w:color="auto" w:fill="FFFFFF" w:themeFill="background1"/>
          </w:tcPr>
          <w:p w14:paraId="724C5516" w14:textId="4656C3D6"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85.2</w:t>
            </w:r>
          </w:p>
        </w:tc>
        <w:tc>
          <w:tcPr>
            <w:tcW w:w="147" w:type="pct"/>
            <w:shd w:val="clear" w:color="auto" w:fill="FFFFFF" w:themeFill="background1"/>
          </w:tcPr>
          <w:p w14:paraId="75693116" w14:textId="09A3CD13"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85.2</w:t>
            </w:r>
          </w:p>
        </w:tc>
        <w:tc>
          <w:tcPr>
            <w:tcW w:w="148" w:type="pct"/>
            <w:shd w:val="clear" w:color="auto" w:fill="FFFFFF" w:themeFill="background1"/>
          </w:tcPr>
          <w:p w14:paraId="5F8D222F" w14:textId="6BFF0DB1"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84.6</w:t>
            </w:r>
          </w:p>
        </w:tc>
      </w:tr>
      <w:tr w:rsidR="00562626" w14:paraId="5B668A53" w14:textId="77777777" w:rsidTr="007948EE">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3B093D75" w14:textId="1CB93012" w:rsidR="00FE28CD" w:rsidRPr="00336D07" w:rsidRDefault="00FE28CD" w:rsidP="00FE28CD">
            <w:pPr>
              <w:pStyle w:val="TableLeftText"/>
              <w:rPr>
                <w:sz w:val="18"/>
                <w:szCs w:val="18"/>
              </w:rPr>
            </w:pPr>
            <w:r>
              <w:rPr>
                <w:sz w:val="18"/>
                <w:szCs w:val="18"/>
              </w:rPr>
              <w:t xml:space="preserve">Hydrogen from dedicated </w:t>
            </w:r>
            <w:proofErr w:type="spellStart"/>
            <w:r>
              <w:rPr>
                <w:sz w:val="18"/>
                <w:szCs w:val="18"/>
              </w:rPr>
              <w:t>renewables</w:t>
            </w:r>
            <w:r>
              <w:rPr>
                <w:sz w:val="18"/>
                <w:szCs w:val="18"/>
                <w:vertAlign w:val="superscript"/>
              </w:rPr>
              <w:t>c</w:t>
            </w:r>
            <w:proofErr w:type="spellEnd"/>
          </w:p>
        </w:tc>
        <w:tc>
          <w:tcPr>
            <w:tcW w:w="147" w:type="pct"/>
            <w:shd w:val="clear" w:color="auto" w:fill="FFFFFF" w:themeFill="background1"/>
          </w:tcPr>
          <w:p w14:paraId="6C8781C0" w14:textId="2469898C"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14.2</w:t>
            </w:r>
          </w:p>
        </w:tc>
        <w:tc>
          <w:tcPr>
            <w:tcW w:w="147" w:type="pct"/>
            <w:shd w:val="clear" w:color="auto" w:fill="FFFFFF" w:themeFill="background1"/>
          </w:tcPr>
          <w:p w14:paraId="25899132" w14:textId="7FCE84F1"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14.2</w:t>
            </w:r>
          </w:p>
        </w:tc>
        <w:tc>
          <w:tcPr>
            <w:tcW w:w="147" w:type="pct"/>
            <w:shd w:val="clear" w:color="auto" w:fill="FFFFFF" w:themeFill="background1"/>
          </w:tcPr>
          <w:p w14:paraId="2993FB1D" w14:textId="30CF1487"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12.5</w:t>
            </w:r>
          </w:p>
        </w:tc>
        <w:tc>
          <w:tcPr>
            <w:tcW w:w="147" w:type="pct"/>
            <w:shd w:val="clear" w:color="auto" w:fill="FFFFFF" w:themeFill="background1"/>
          </w:tcPr>
          <w:p w14:paraId="2D155A1C" w14:textId="13534601"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12.5</w:t>
            </w:r>
          </w:p>
        </w:tc>
        <w:tc>
          <w:tcPr>
            <w:tcW w:w="147" w:type="pct"/>
            <w:shd w:val="clear" w:color="auto" w:fill="FFFFFF" w:themeFill="background1"/>
          </w:tcPr>
          <w:p w14:paraId="272E9E18" w14:textId="7CB1485C"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12.5</w:t>
            </w:r>
          </w:p>
        </w:tc>
        <w:tc>
          <w:tcPr>
            <w:tcW w:w="147" w:type="pct"/>
            <w:shd w:val="clear" w:color="auto" w:fill="FFFFFF" w:themeFill="background1"/>
          </w:tcPr>
          <w:p w14:paraId="4273C1DB" w14:textId="3831F3DF"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12.5</w:t>
            </w:r>
          </w:p>
        </w:tc>
        <w:tc>
          <w:tcPr>
            <w:tcW w:w="147" w:type="pct"/>
            <w:shd w:val="clear" w:color="auto" w:fill="FFFFFF" w:themeFill="background1"/>
          </w:tcPr>
          <w:p w14:paraId="6DE0BECE" w14:textId="6F6594FD"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12.5</w:t>
            </w:r>
          </w:p>
        </w:tc>
        <w:tc>
          <w:tcPr>
            <w:tcW w:w="147" w:type="pct"/>
            <w:shd w:val="clear" w:color="auto" w:fill="FFFFFF" w:themeFill="background1"/>
          </w:tcPr>
          <w:p w14:paraId="6204D347" w14:textId="2711AC17"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8.2</w:t>
            </w:r>
          </w:p>
        </w:tc>
        <w:tc>
          <w:tcPr>
            <w:tcW w:w="147" w:type="pct"/>
            <w:shd w:val="clear" w:color="auto" w:fill="FFFFFF" w:themeFill="background1"/>
          </w:tcPr>
          <w:p w14:paraId="6E2A411A" w14:textId="6C03C3B2"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8.2</w:t>
            </w:r>
          </w:p>
        </w:tc>
        <w:tc>
          <w:tcPr>
            <w:tcW w:w="147" w:type="pct"/>
            <w:shd w:val="clear" w:color="auto" w:fill="FFFFFF" w:themeFill="background1"/>
          </w:tcPr>
          <w:p w14:paraId="66107B61" w14:textId="67777F98"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8.2</w:t>
            </w:r>
          </w:p>
        </w:tc>
        <w:tc>
          <w:tcPr>
            <w:tcW w:w="147" w:type="pct"/>
            <w:shd w:val="clear" w:color="auto" w:fill="FFFFFF" w:themeFill="background1"/>
          </w:tcPr>
          <w:p w14:paraId="215A18AC" w14:textId="6E66D4D7"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8.2</w:t>
            </w:r>
          </w:p>
        </w:tc>
        <w:tc>
          <w:tcPr>
            <w:tcW w:w="147" w:type="pct"/>
            <w:shd w:val="clear" w:color="auto" w:fill="FFFFFF" w:themeFill="background1"/>
          </w:tcPr>
          <w:p w14:paraId="18714F8F" w14:textId="7A002826"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8.2</w:t>
            </w:r>
          </w:p>
        </w:tc>
        <w:tc>
          <w:tcPr>
            <w:tcW w:w="147" w:type="pct"/>
            <w:shd w:val="clear" w:color="auto" w:fill="FFFFFF" w:themeFill="background1"/>
          </w:tcPr>
          <w:p w14:paraId="4E05E8F4" w14:textId="7311374F"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7.3</w:t>
            </w:r>
          </w:p>
        </w:tc>
        <w:tc>
          <w:tcPr>
            <w:tcW w:w="147" w:type="pct"/>
            <w:shd w:val="clear" w:color="auto" w:fill="FFFFFF" w:themeFill="background1"/>
          </w:tcPr>
          <w:p w14:paraId="53C6C7D5" w14:textId="7683B520"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7.3</w:t>
            </w:r>
          </w:p>
        </w:tc>
        <w:tc>
          <w:tcPr>
            <w:tcW w:w="147" w:type="pct"/>
            <w:shd w:val="clear" w:color="auto" w:fill="FFFFFF" w:themeFill="background1"/>
          </w:tcPr>
          <w:p w14:paraId="0BED2580" w14:textId="35C88E54"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7.3</w:t>
            </w:r>
          </w:p>
        </w:tc>
        <w:tc>
          <w:tcPr>
            <w:tcW w:w="147" w:type="pct"/>
            <w:shd w:val="clear" w:color="auto" w:fill="FFFFFF" w:themeFill="background1"/>
          </w:tcPr>
          <w:p w14:paraId="23C4614A" w14:textId="6A08F02C"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7.3</w:t>
            </w:r>
          </w:p>
        </w:tc>
        <w:tc>
          <w:tcPr>
            <w:tcW w:w="147" w:type="pct"/>
            <w:shd w:val="clear" w:color="auto" w:fill="FFFFFF" w:themeFill="background1"/>
          </w:tcPr>
          <w:p w14:paraId="3FD519CB" w14:textId="73F2C902"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7.3</w:t>
            </w:r>
          </w:p>
        </w:tc>
        <w:tc>
          <w:tcPr>
            <w:tcW w:w="147" w:type="pct"/>
            <w:shd w:val="clear" w:color="auto" w:fill="FFFFFF" w:themeFill="background1"/>
          </w:tcPr>
          <w:p w14:paraId="6D4B4647" w14:textId="441649B0"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7.1</w:t>
            </w:r>
          </w:p>
        </w:tc>
        <w:tc>
          <w:tcPr>
            <w:tcW w:w="147" w:type="pct"/>
            <w:shd w:val="clear" w:color="auto" w:fill="FFFFFF" w:themeFill="background1"/>
          </w:tcPr>
          <w:p w14:paraId="7BD40135" w14:textId="2615B76F"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7.1</w:t>
            </w:r>
          </w:p>
        </w:tc>
        <w:tc>
          <w:tcPr>
            <w:tcW w:w="147" w:type="pct"/>
            <w:shd w:val="clear" w:color="auto" w:fill="FFFFFF" w:themeFill="background1"/>
          </w:tcPr>
          <w:p w14:paraId="0F3F525B" w14:textId="2A2AF6A4"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7.1</w:t>
            </w:r>
          </w:p>
        </w:tc>
        <w:tc>
          <w:tcPr>
            <w:tcW w:w="147" w:type="pct"/>
            <w:shd w:val="clear" w:color="auto" w:fill="FFFFFF" w:themeFill="background1"/>
          </w:tcPr>
          <w:p w14:paraId="0B472987" w14:textId="4D44B8D6"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7.1</w:t>
            </w:r>
          </w:p>
        </w:tc>
        <w:tc>
          <w:tcPr>
            <w:tcW w:w="147" w:type="pct"/>
            <w:shd w:val="clear" w:color="auto" w:fill="FFFFFF" w:themeFill="background1"/>
          </w:tcPr>
          <w:p w14:paraId="4410E9EC" w14:textId="6073B99D"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7.1</w:t>
            </w:r>
          </w:p>
        </w:tc>
        <w:tc>
          <w:tcPr>
            <w:tcW w:w="147" w:type="pct"/>
            <w:shd w:val="clear" w:color="auto" w:fill="FFFFFF" w:themeFill="background1"/>
          </w:tcPr>
          <w:p w14:paraId="57EAE052" w14:textId="52A4AE00"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6.9</w:t>
            </w:r>
          </w:p>
        </w:tc>
        <w:tc>
          <w:tcPr>
            <w:tcW w:w="147" w:type="pct"/>
            <w:shd w:val="clear" w:color="auto" w:fill="FFFFFF" w:themeFill="background1"/>
          </w:tcPr>
          <w:p w14:paraId="68AC7E9B" w14:textId="12B41A68"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6.9</w:t>
            </w:r>
          </w:p>
        </w:tc>
        <w:tc>
          <w:tcPr>
            <w:tcW w:w="147" w:type="pct"/>
            <w:shd w:val="clear" w:color="auto" w:fill="FFFFFF" w:themeFill="background1"/>
          </w:tcPr>
          <w:p w14:paraId="3C81F1D3" w14:textId="2265CA8B"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6.9</w:t>
            </w:r>
          </w:p>
        </w:tc>
        <w:tc>
          <w:tcPr>
            <w:tcW w:w="147" w:type="pct"/>
            <w:shd w:val="clear" w:color="auto" w:fill="FFFFFF" w:themeFill="background1"/>
          </w:tcPr>
          <w:p w14:paraId="60270C9C" w14:textId="36180A44"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6.9</w:t>
            </w:r>
          </w:p>
        </w:tc>
        <w:tc>
          <w:tcPr>
            <w:tcW w:w="147" w:type="pct"/>
            <w:shd w:val="clear" w:color="auto" w:fill="FFFFFF" w:themeFill="background1"/>
          </w:tcPr>
          <w:p w14:paraId="551B9829" w14:textId="534EAF63"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6.9</w:t>
            </w:r>
          </w:p>
        </w:tc>
        <w:tc>
          <w:tcPr>
            <w:tcW w:w="148" w:type="pct"/>
            <w:shd w:val="clear" w:color="auto" w:fill="FFFFFF" w:themeFill="background1"/>
          </w:tcPr>
          <w:p w14:paraId="1EA92E6B" w14:textId="0CAB5D42"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rFonts w:cs="Arial"/>
                <w:color w:val="4A4D56"/>
              </w:rPr>
            </w:pPr>
            <w:r w:rsidRPr="001F4B4F">
              <w:rPr>
                <w:rFonts w:cs="Arial"/>
                <w:color w:val="4A4D56"/>
              </w:rPr>
              <w:t>6.3</w:t>
            </w:r>
          </w:p>
        </w:tc>
      </w:tr>
      <w:tr w:rsidR="00562626" w14:paraId="2B8923FA" w14:textId="77777777" w:rsidTr="007948EE">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76E09DB8" w14:textId="524D79A2" w:rsidR="007948EE" w:rsidRPr="007948EE" w:rsidRDefault="007948EE" w:rsidP="007948EE">
            <w:pPr>
              <w:pStyle w:val="TableLeftText"/>
              <w:rPr>
                <w:color w:val="4A4D56"/>
                <w:sz w:val="18"/>
                <w:szCs w:val="18"/>
              </w:rPr>
            </w:pPr>
            <w:r w:rsidRPr="007948EE">
              <w:rPr>
                <w:sz w:val="18"/>
                <w:szCs w:val="18"/>
              </w:rPr>
              <w:t xml:space="preserve">Biomethane from animal </w:t>
            </w:r>
            <w:r w:rsidR="009A23D2">
              <w:rPr>
                <w:sz w:val="18"/>
                <w:szCs w:val="18"/>
              </w:rPr>
              <w:t>waste</w:t>
            </w:r>
          </w:p>
        </w:tc>
        <w:tc>
          <w:tcPr>
            <w:tcW w:w="147" w:type="pct"/>
            <w:shd w:val="clear" w:color="auto" w:fill="FFFFFF" w:themeFill="background1"/>
          </w:tcPr>
          <w:p w14:paraId="4D62B3E4" w14:textId="13A1ACE0"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15.2</w:t>
            </w:r>
          </w:p>
        </w:tc>
        <w:tc>
          <w:tcPr>
            <w:tcW w:w="147" w:type="pct"/>
            <w:shd w:val="clear" w:color="auto" w:fill="FFFFFF" w:themeFill="background1"/>
          </w:tcPr>
          <w:p w14:paraId="5E9C0E37" w14:textId="3C71B72F"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15.2</w:t>
            </w:r>
          </w:p>
        </w:tc>
        <w:tc>
          <w:tcPr>
            <w:tcW w:w="147" w:type="pct"/>
            <w:shd w:val="clear" w:color="auto" w:fill="FFFFFF" w:themeFill="background1"/>
          </w:tcPr>
          <w:p w14:paraId="23DA2C66" w14:textId="718D6D8C"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15.1</w:t>
            </w:r>
          </w:p>
        </w:tc>
        <w:tc>
          <w:tcPr>
            <w:tcW w:w="147" w:type="pct"/>
            <w:shd w:val="clear" w:color="auto" w:fill="FFFFFF" w:themeFill="background1"/>
          </w:tcPr>
          <w:p w14:paraId="03E6056C" w14:textId="59B08E24"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15.1</w:t>
            </w:r>
          </w:p>
        </w:tc>
        <w:tc>
          <w:tcPr>
            <w:tcW w:w="147" w:type="pct"/>
            <w:shd w:val="clear" w:color="auto" w:fill="FFFFFF" w:themeFill="background1"/>
          </w:tcPr>
          <w:p w14:paraId="2A6AB4D6" w14:textId="6549E5B3"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15.1</w:t>
            </w:r>
          </w:p>
        </w:tc>
        <w:tc>
          <w:tcPr>
            <w:tcW w:w="147" w:type="pct"/>
            <w:shd w:val="clear" w:color="auto" w:fill="FFFFFF" w:themeFill="background1"/>
          </w:tcPr>
          <w:p w14:paraId="5AA83CD9" w14:textId="5EFDF013"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15.1</w:t>
            </w:r>
          </w:p>
        </w:tc>
        <w:tc>
          <w:tcPr>
            <w:tcW w:w="147" w:type="pct"/>
            <w:shd w:val="clear" w:color="auto" w:fill="FFFFFF" w:themeFill="background1"/>
          </w:tcPr>
          <w:p w14:paraId="03333923" w14:textId="4EEFDFE5"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15.1</w:t>
            </w:r>
          </w:p>
        </w:tc>
        <w:tc>
          <w:tcPr>
            <w:tcW w:w="147" w:type="pct"/>
            <w:shd w:val="clear" w:color="auto" w:fill="FFFFFF" w:themeFill="background1"/>
          </w:tcPr>
          <w:p w14:paraId="5F23A132" w14:textId="636D299C"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14.7</w:t>
            </w:r>
          </w:p>
        </w:tc>
        <w:tc>
          <w:tcPr>
            <w:tcW w:w="147" w:type="pct"/>
            <w:shd w:val="clear" w:color="auto" w:fill="FFFFFF" w:themeFill="background1"/>
          </w:tcPr>
          <w:p w14:paraId="74EBDED1" w14:textId="6DE22235"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14.7</w:t>
            </w:r>
          </w:p>
        </w:tc>
        <w:tc>
          <w:tcPr>
            <w:tcW w:w="147" w:type="pct"/>
            <w:shd w:val="clear" w:color="auto" w:fill="FFFFFF" w:themeFill="background1"/>
          </w:tcPr>
          <w:p w14:paraId="17CFFF19" w14:textId="1747319C"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14.7</w:t>
            </w:r>
          </w:p>
        </w:tc>
        <w:tc>
          <w:tcPr>
            <w:tcW w:w="147" w:type="pct"/>
            <w:shd w:val="clear" w:color="auto" w:fill="FFFFFF" w:themeFill="background1"/>
          </w:tcPr>
          <w:p w14:paraId="217A2FA3" w14:textId="2146E5F2"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14.7</w:t>
            </w:r>
          </w:p>
        </w:tc>
        <w:tc>
          <w:tcPr>
            <w:tcW w:w="147" w:type="pct"/>
            <w:shd w:val="clear" w:color="auto" w:fill="FFFFFF" w:themeFill="background1"/>
          </w:tcPr>
          <w:p w14:paraId="6782339D" w14:textId="37F03833"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14.7</w:t>
            </w:r>
          </w:p>
        </w:tc>
        <w:tc>
          <w:tcPr>
            <w:tcW w:w="147" w:type="pct"/>
            <w:shd w:val="clear" w:color="auto" w:fill="FFFFFF" w:themeFill="background1"/>
          </w:tcPr>
          <w:p w14:paraId="0902FF1B" w14:textId="15A8DAB7"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14.6</w:t>
            </w:r>
          </w:p>
        </w:tc>
        <w:tc>
          <w:tcPr>
            <w:tcW w:w="147" w:type="pct"/>
            <w:shd w:val="clear" w:color="auto" w:fill="FFFFFF" w:themeFill="background1"/>
          </w:tcPr>
          <w:p w14:paraId="530165F4" w14:textId="09DB5E53"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14.6</w:t>
            </w:r>
          </w:p>
        </w:tc>
        <w:tc>
          <w:tcPr>
            <w:tcW w:w="147" w:type="pct"/>
            <w:shd w:val="clear" w:color="auto" w:fill="FFFFFF" w:themeFill="background1"/>
          </w:tcPr>
          <w:p w14:paraId="77B135DA" w14:textId="3FBE4056"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14.6</w:t>
            </w:r>
          </w:p>
        </w:tc>
        <w:tc>
          <w:tcPr>
            <w:tcW w:w="147" w:type="pct"/>
            <w:shd w:val="clear" w:color="auto" w:fill="FFFFFF" w:themeFill="background1"/>
          </w:tcPr>
          <w:p w14:paraId="646BE1D5" w14:textId="00B70733"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14.6</w:t>
            </w:r>
          </w:p>
        </w:tc>
        <w:tc>
          <w:tcPr>
            <w:tcW w:w="147" w:type="pct"/>
            <w:shd w:val="clear" w:color="auto" w:fill="FFFFFF" w:themeFill="background1"/>
          </w:tcPr>
          <w:p w14:paraId="19C3891D" w14:textId="089BEED8"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14.6</w:t>
            </w:r>
          </w:p>
        </w:tc>
        <w:tc>
          <w:tcPr>
            <w:tcW w:w="147" w:type="pct"/>
            <w:shd w:val="clear" w:color="auto" w:fill="FFFFFF" w:themeFill="background1"/>
          </w:tcPr>
          <w:p w14:paraId="7D6FE41D" w14:textId="61269A9A"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14.6</w:t>
            </w:r>
          </w:p>
        </w:tc>
        <w:tc>
          <w:tcPr>
            <w:tcW w:w="147" w:type="pct"/>
            <w:shd w:val="clear" w:color="auto" w:fill="FFFFFF" w:themeFill="background1"/>
          </w:tcPr>
          <w:p w14:paraId="488F30C9" w14:textId="2105EBE3"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14.6</w:t>
            </w:r>
          </w:p>
        </w:tc>
        <w:tc>
          <w:tcPr>
            <w:tcW w:w="147" w:type="pct"/>
            <w:shd w:val="clear" w:color="auto" w:fill="FFFFFF" w:themeFill="background1"/>
          </w:tcPr>
          <w:p w14:paraId="384F596D" w14:textId="7B372ED7"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14.6</w:t>
            </w:r>
          </w:p>
        </w:tc>
        <w:tc>
          <w:tcPr>
            <w:tcW w:w="147" w:type="pct"/>
            <w:shd w:val="clear" w:color="auto" w:fill="FFFFFF" w:themeFill="background1"/>
          </w:tcPr>
          <w:p w14:paraId="57266C3C" w14:textId="0F0CE3F9"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14.6</w:t>
            </w:r>
          </w:p>
        </w:tc>
        <w:tc>
          <w:tcPr>
            <w:tcW w:w="147" w:type="pct"/>
            <w:shd w:val="clear" w:color="auto" w:fill="FFFFFF" w:themeFill="background1"/>
          </w:tcPr>
          <w:p w14:paraId="78131821" w14:textId="7C92704A"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14.6</w:t>
            </w:r>
          </w:p>
        </w:tc>
        <w:tc>
          <w:tcPr>
            <w:tcW w:w="147" w:type="pct"/>
            <w:shd w:val="clear" w:color="auto" w:fill="FFFFFF" w:themeFill="background1"/>
          </w:tcPr>
          <w:p w14:paraId="0F919E21" w14:textId="18EAC6DD"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14.6</w:t>
            </w:r>
          </w:p>
        </w:tc>
        <w:tc>
          <w:tcPr>
            <w:tcW w:w="147" w:type="pct"/>
            <w:shd w:val="clear" w:color="auto" w:fill="FFFFFF" w:themeFill="background1"/>
          </w:tcPr>
          <w:p w14:paraId="606C2071" w14:textId="01DBC90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14.6</w:t>
            </w:r>
          </w:p>
        </w:tc>
        <w:tc>
          <w:tcPr>
            <w:tcW w:w="147" w:type="pct"/>
            <w:shd w:val="clear" w:color="auto" w:fill="FFFFFF" w:themeFill="background1"/>
          </w:tcPr>
          <w:p w14:paraId="2F2581B1" w14:textId="67BCDD79"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14.6</w:t>
            </w:r>
          </w:p>
        </w:tc>
        <w:tc>
          <w:tcPr>
            <w:tcW w:w="147" w:type="pct"/>
            <w:shd w:val="clear" w:color="auto" w:fill="FFFFFF" w:themeFill="background1"/>
          </w:tcPr>
          <w:p w14:paraId="4CED39B1" w14:textId="53895E6C"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14.6</w:t>
            </w:r>
          </w:p>
        </w:tc>
        <w:tc>
          <w:tcPr>
            <w:tcW w:w="147" w:type="pct"/>
            <w:shd w:val="clear" w:color="auto" w:fill="FFFFFF" w:themeFill="background1"/>
          </w:tcPr>
          <w:p w14:paraId="43CB25B3" w14:textId="57F8428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14.6</w:t>
            </w:r>
          </w:p>
        </w:tc>
        <w:tc>
          <w:tcPr>
            <w:tcW w:w="148" w:type="pct"/>
            <w:shd w:val="clear" w:color="auto" w:fill="FFFFFF" w:themeFill="background1"/>
          </w:tcPr>
          <w:p w14:paraId="63721B2B" w14:textId="6A1E1BF2"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14.5</w:t>
            </w:r>
          </w:p>
        </w:tc>
      </w:tr>
      <w:tr w:rsidR="00562626" w14:paraId="07948F28" w14:textId="77777777" w:rsidTr="007948EE">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46DA3BE8" w14:textId="3063C177" w:rsidR="007948EE" w:rsidRPr="007948EE" w:rsidRDefault="007948EE" w:rsidP="007948EE">
            <w:pPr>
              <w:pStyle w:val="TableLeftText"/>
              <w:rPr>
                <w:color w:val="4A4D56"/>
                <w:sz w:val="18"/>
                <w:szCs w:val="18"/>
              </w:rPr>
            </w:pPr>
            <w:r w:rsidRPr="007948EE">
              <w:rPr>
                <w:sz w:val="18"/>
                <w:szCs w:val="18"/>
              </w:rPr>
              <w:t>Biomethane from landfill gas</w:t>
            </w:r>
          </w:p>
        </w:tc>
        <w:tc>
          <w:tcPr>
            <w:tcW w:w="147" w:type="pct"/>
            <w:shd w:val="clear" w:color="auto" w:fill="FFFFFF" w:themeFill="background1"/>
          </w:tcPr>
          <w:p w14:paraId="65BC1105" w14:textId="2023155E"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7.7</w:t>
            </w:r>
          </w:p>
        </w:tc>
        <w:tc>
          <w:tcPr>
            <w:tcW w:w="147" w:type="pct"/>
            <w:shd w:val="clear" w:color="auto" w:fill="FFFFFF" w:themeFill="background1"/>
          </w:tcPr>
          <w:p w14:paraId="7AE5DF4E" w14:textId="7CF773B0"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7.7</w:t>
            </w:r>
          </w:p>
        </w:tc>
        <w:tc>
          <w:tcPr>
            <w:tcW w:w="147" w:type="pct"/>
            <w:shd w:val="clear" w:color="auto" w:fill="FFFFFF" w:themeFill="background1"/>
          </w:tcPr>
          <w:p w14:paraId="5FB4A227" w14:textId="3C1E1E26"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6.8</w:t>
            </w:r>
          </w:p>
        </w:tc>
        <w:tc>
          <w:tcPr>
            <w:tcW w:w="147" w:type="pct"/>
            <w:shd w:val="clear" w:color="auto" w:fill="FFFFFF" w:themeFill="background1"/>
          </w:tcPr>
          <w:p w14:paraId="2FBDA4E2" w14:textId="6A777157"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6.8</w:t>
            </w:r>
          </w:p>
        </w:tc>
        <w:tc>
          <w:tcPr>
            <w:tcW w:w="147" w:type="pct"/>
            <w:shd w:val="clear" w:color="auto" w:fill="FFFFFF" w:themeFill="background1"/>
          </w:tcPr>
          <w:p w14:paraId="196B4F77" w14:textId="03441922"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6.8</w:t>
            </w:r>
          </w:p>
        </w:tc>
        <w:tc>
          <w:tcPr>
            <w:tcW w:w="147" w:type="pct"/>
            <w:shd w:val="clear" w:color="auto" w:fill="FFFFFF" w:themeFill="background1"/>
          </w:tcPr>
          <w:p w14:paraId="44D44825" w14:textId="6684F0DC"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6.8</w:t>
            </w:r>
          </w:p>
        </w:tc>
        <w:tc>
          <w:tcPr>
            <w:tcW w:w="147" w:type="pct"/>
            <w:shd w:val="clear" w:color="auto" w:fill="FFFFFF" w:themeFill="background1"/>
          </w:tcPr>
          <w:p w14:paraId="1EE08AF6" w14:textId="15191B04"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6.8</w:t>
            </w:r>
          </w:p>
        </w:tc>
        <w:tc>
          <w:tcPr>
            <w:tcW w:w="147" w:type="pct"/>
            <w:shd w:val="clear" w:color="auto" w:fill="FFFFFF" w:themeFill="background1"/>
          </w:tcPr>
          <w:p w14:paraId="273FB8D7" w14:textId="7F2E32EE"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4.2</w:t>
            </w:r>
          </w:p>
        </w:tc>
        <w:tc>
          <w:tcPr>
            <w:tcW w:w="147" w:type="pct"/>
            <w:shd w:val="clear" w:color="auto" w:fill="FFFFFF" w:themeFill="background1"/>
          </w:tcPr>
          <w:p w14:paraId="52A2CFCB" w14:textId="2A64C36E"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4.2</w:t>
            </w:r>
          </w:p>
        </w:tc>
        <w:tc>
          <w:tcPr>
            <w:tcW w:w="147" w:type="pct"/>
            <w:shd w:val="clear" w:color="auto" w:fill="FFFFFF" w:themeFill="background1"/>
          </w:tcPr>
          <w:p w14:paraId="4B0A87B8" w14:textId="76AA2D3F"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4.2</w:t>
            </w:r>
          </w:p>
        </w:tc>
        <w:tc>
          <w:tcPr>
            <w:tcW w:w="147" w:type="pct"/>
            <w:shd w:val="clear" w:color="auto" w:fill="FFFFFF" w:themeFill="background1"/>
          </w:tcPr>
          <w:p w14:paraId="6E058A0A" w14:textId="7996C55E"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4.2</w:t>
            </w:r>
          </w:p>
        </w:tc>
        <w:tc>
          <w:tcPr>
            <w:tcW w:w="147" w:type="pct"/>
            <w:shd w:val="clear" w:color="auto" w:fill="FFFFFF" w:themeFill="background1"/>
          </w:tcPr>
          <w:p w14:paraId="658D868F" w14:textId="281E8E2D"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4.2</w:t>
            </w:r>
          </w:p>
        </w:tc>
        <w:tc>
          <w:tcPr>
            <w:tcW w:w="147" w:type="pct"/>
            <w:shd w:val="clear" w:color="auto" w:fill="FFFFFF" w:themeFill="background1"/>
          </w:tcPr>
          <w:p w14:paraId="01700F91" w14:textId="374124E5"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3.8</w:t>
            </w:r>
          </w:p>
        </w:tc>
        <w:tc>
          <w:tcPr>
            <w:tcW w:w="147" w:type="pct"/>
            <w:shd w:val="clear" w:color="auto" w:fill="FFFFFF" w:themeFill="background1"/>
          </w:tcPr>
          <w:p w14:paraId="4311EB91" w14:textId="59314925"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3.8</w:t>
            </w:r>
          </w:p>
        </w:tc>
        <w:tc>
          <w:tcPr>
            <w:tcW w:w="147" w:type="pct"/>
            <w:shd w:val="clear" w:color="auto" w:fill="FFFFFF" w:themeFill="background1"/>
          </w:tcPr>
          <w:p w14:paraId="2186F4DE" w14:textId="52CFF61E"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3.8</w:t>
            </w:r>
          </w:p>
        </w:tc>
        <w:tc>
          <w:tcPr>
            <w:tcW w:w="147" w:type="pct"/>
            <w:shd w:val="clear" w:color="auto" w:fill="FFFFFF" w:themeFill="background1"/>
          </w:tcPr>
          <w:p w14:paraId="516CA9C3" w14:textId="0F21C966"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3.8</w:t>
            </w:r>
          </w:p>
        </w:tc>
        <w:tc>
          <w:tcPr>
            <w:tcW w:w="147" w:type="pct"/>
            <w:shd w:val="clear" w:color="auto" w:fill="FFFFFF" w:themeFill="background1"/>
          </w:tcPr>
          <w:p w14:paraId="50B971C2" w14:textId="1E380222"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3.8</w:t>
            </w:r>
          </w:p>
        </w:tc>
        <w:tc>
          <w:tcPr>
            <w:tcW w:w="147" w:type="pct"/>
            <w:shd w:val="clear" w:color="auto" w:fill="FFFFFF" w:themeFill="background1"/>
          </w:tcPr>
          <w:p w14:paraId="754E0A19" w14:textId="65B68F0B"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3.6</w:t>
            </w:r>
          </w:p>
        </w:tc>
        <w:tc>
          <w:tcPr>
            <w:tcW w:w="147" w:type="pct"/>
            <w:shd w:val="clear" w:color="auto" w:fill="FFFFFF" w:themeFill="background1"/>
          </w:tcPr>
          <w:p w14:paraId="4DE64D21" w14:textId="279A77C8"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3.6</w:t>
            </w:r>
          </w:p>
        </w:tc>
        <w:tc>
          <w:tcPr>
            <w:tcW w:w="147" w:type="pct"/>
            <w:shd w:val="clear" w:color="auto" w:fill="FFFFFF" w:themeFill="background1"/>
          </w:tcPr>
          <w:p w14:paraId="1729C222" w14:textId="6BF204E0"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3.6</w:t>
            </w:r>
          </w:p>
        </w:tc>
        <w:tc>
          <w:tcPr>
            <w:tcW w:w="147" w:type="pct"/>
            <w:shd w:val="clear" w:color="auto" w:fill="FFFFFF" w:themeFill="background1"/>
          </w:tcPr>
          <w:p w14:paraId="38094F58" w14:textId="3EB201AE"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3.6</w:t>
            </w:r>
          </w:p>
        </w:tc>
        <w:tc>
          <w:tcPr>
            <w:tcW w:w="147" w:type="pct"/>
            <w:shd w:val="clear" w:color="auto" w:fill="FFFFFF" w:themeFill="background1"/>
          </w:tcPr>
          <w:p w14:paraId="5835B743" w14:textId="4DF7573D"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3.6</w:t>
            </w:r>
          </w:p>
        </w:tc>
        <w:tc>
          <w:tcPr>
            <w:tcW w:w="147" w:type="pct"/>
            <w:shd w:val="clear" w:color="auto" w:fill="FFFFFF" w:themeFill="background1"/>
          </w:tcPr>
          <w:p w14:paraId="1FC46C72" w14:textId="24DA8FA3"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3.5</w:t>
            </w:r>
          </w:p>
        </w:tc>
        <w:tc>
          <w:tcPr>
            <w:tcW w:w="147" w:type="pct"/>
            <w:shd w:val="clear" w:color="auto" w:fill="FFFFFF" w:themeFill="background1"/>
          </w:tcPr>
          <w:p w14:paraId="4D81027E" w14:textId="6FC516D6"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3.5</w:t>
            </w:r>
          </w:p>
        </w:tc>
        <w:tc>
          <w:tcPr>
            <w:tcW w:w="147" w:type="pct"/>
            <w:shd w:val="clear" w:color="auto" w:fill="FFFFFF" w:themeFill="background1"/>
          </w:tcPr>
          <w:p w14:paraId="694974A3" w14:textId="7709F98A"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3.5</w:t>
            </w:r>
          </w:p>
        </w:tc>
        <w:tc>
          <w:tcPr>
            <w:tcW w:w="147" w:type="pct"/>
            <w:shd w:val="clear" w:color="auto" w:fill="FFFFFF" w:themeFill="background1"/>
          </w:tcPr>
          <w:p w14:paraId="420C7B63" w14:textId="54B70F41"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3.5</w:t>
            </w:r>
          </w:p>
        </w:tc>
        <w:tc>
          <w:tcPr>
            <w:tcW w:w="147" w:type="pct"/>
            <w:shd w:val="clear" w:color="auto" w:fill="FFFFFF" w:themeFill="background1"/>
          </w:tcPr>
          <w:p w14:paraId="73E66D90" w14:textId="0DD10EA7"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3.5</w:t>
            </w:r>
          </w:p>
        </w:tc>
        <w:tc>
          <w:tcPr>
            <w:tcW w:w="148" w:type="pct"/>
            <w:shd w:val="clear" w:color="auto" w:fill="FFFFFF" w:themeFill="background1"/>
          </w:tcPr>
          <w:p w14:paraId="6A061D07" w14:textId="282BCE92"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3.3</w:t>
            </w:r>
          </w:p>
        </w:tc>
      </w:tr>
      <w:tr w:rsidR="00562626" w14:paraId="536DD8C8" w14:textId="77777777" w:rsidTr="007948EE">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6930CE5A" w14:textId="3F2A4063" w:rsidR="007948EE" w:rsidRPr="00336D07" w:rsidRDefault="007948EE" w:rsidP="007948EE">
            <w:pPr>
              <w:pStyle w:val="TableLeftText"/>
              <w:rPr>
                <w:color w:val="4A4D56"/>
                <w:sz w:val="18"/>
                <w:szCs w:val="18"/>
                <w:vertAlign w:val="superscript"/>
              </w:rPr>
            </w:pPr>
            <w:r w:rsidRPr="007948EE">
              <w:rPr>
                <w:sz w:val="18"/>
                <w:szCs w:val="18"/>
              </w:rPr>
              <w:t>Biomethane from fats, oils, and greases</w:t>
            </w:r>
          </w:p>
        </w:tc>
        <w:tc>
          <w:tcPr>
            <w:tcW w:w="147" w:type="pct"/>
            <w:shd w:val="clear" w:color="auto" w:fill="FFFFFF" w:themeFill="background1"/>
          </w:tcPr>
          <w:p w14:paraId="4EA5C670" w14:textId="33A08FD5"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29.0</w:t>
            </w:r>
          </w:p>
        </w:tc>
        <w:tc>
          <w:tcPr>
            <w:tcW w:w="147" w:type="pct"/>
            <w:shd w:val="clear" w:color="auto" w:fill="FFFFFF" w:themeFill="background1"/>
          </w:tcPr>
          <w:p w14:paraId="48BA9E50" w14:textId="31BA9B39"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29.0</w:t>
            </w:r>
          </w:p>
        </w:tc>
        <w:tc>
          <w:tcPr>
            <w:tcW w:w="147" w:type="pct"/>
            <w:shd w:val="clear" w:color="auto" w:fill="FFFFFF" w:themeFill="background1"/>
          </w:tcPr>
          <w:p w14:paraId="3A5844EB" w14:textId="5EE1A010"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26.2</w:t>
            </w:r>
          </w:p>
        </w:tc>
        <w:tc>
          <w:tcPr>
            <w:tcW w:w="147" w:type="pct"/>
            <w:shd w:val="clear" w:color="auto" w:fill="FFFFFF" w:themeFill="background1"/>
          </w:tcPr>
          <w:p w14:paraId="6758CDC0" w14:textId="10C67529"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26.2</w:t>
            </w:r>
          </w:p>
        </w:tc>
        <w:tc>
          <w:tcPr>
            <w:tcW w:w="147" w:type="pct"/>
            <w:shd w:val="clear" w:color="auto" w:fill="FFFFFF" w:themeFill="background1"/>
          </w:tcPr>
          <w:p w14:paraId="54DA2B8C" w14:textId="2889563A"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26.2</w:t>
            </w:r>
          </w:p>
        </w:tc>
        <w:tc>
          <w:tcPr>
            <w:tcW w:w="147" w:type="pct"/>
            <w:shd w:val="clear" w:color="auto" w:fill="FFFFFF" w:themeFill="background1"/>
          </w:tcPr>
          <w:p w14:paraId="50C569CF" w14:textId="37BDA89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26.2</w:t>
            </w:r>
          </w:p>
        </w:tc>
        <w:tc>
          <w:tcPr>
            <w:tcW w:w="147" w:type="pct"/>
            <w:shd w:val="clear" w:color="auto" w:fill="FFFFFF" w:themeFill="background1"/>
          </w:tcPr>
          <w:p w14:paraId="4078FCC5" w14:textId="01FA7C0F"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26.2</w:t>
            </w:r>
          </w:p>
        </w:tc>
        <w:tc>
          <w:tcPr>
            <w:tcW w:w="147" w:type="pct"/>
            <w:shd w:val="clear" w:color="auto" w:fill="FFFFFF" w:themeFill="background1"/>
          </w:tcPr>
          <w:p w14:paraId="7C85F1D9" w14:textId="017609F2"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19.2</w:t>
            </w:r>
          </w:p>
        </w:tc>
        <w:tc>
          <w:tcPr>
            <w:tcW w:w="147" w:type="pct"/>
            <w:shd w:val="clear" w:color="auto" w:fill="FFFFFF" w:themeFill="background1"/>
          </w:tcPr>
          <w:p w14:paraId="399BFB55" w14:textId="286828C3"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19.2</w:t>
            </w:r>
          </w:p>
        </w:tc>
        <w:tc>
          <w:tcPr>
            <w:tcW w:w="147" w:type="pct"/>
            <w:shd w:val="clear" w:color="auto" w:fill="FFFFFF" w:themeFill="background1"/>
          </w:tcPr>
          <w:p w14:paraId="3005BC21" w14:textId="3EF092E1"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19.2</w:t>
            </w:r>
          </w:p>
        </w:tc>
        <w:tc>
          <w:tcPr>
            <w:tcW w:w="147" w:type="pct"/>
            <w:shd w:val="clear" w:color="auto" w:fill="FFFFFF" w:themeFill="background1"/>
          </w:tcPr>
          <w:p w14:paraId="670F0611" w14:textId="2E3FAAD4"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19.2</w:t>
            </w:r>
          </w:p>
        </w:tc>
        <w:tc>
          <w:tcPr>
            <w:tcW w:w="147" w:type="pct"/>
            <w:shd w:val="clear" w:color="auto" w:fill="FFFFFF" w:themeFill="background1"/>
          </w:tcPr>
          <w:p w14:paraId="4668B056" w14:textId="5B894428"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19.2</w:t>
            </w:r>
          </w:p>
        </w:tc>
        <w:tc>
          <w:tcPr>
            <w:tcW w:w="147" w:type="pct"/>
            <w:shd w:val="clear" w:color="auto" w:fill="FFFFFF" w:themeFill="background1"/>
          </w:tcPr>
          <w:p w14:paraId="3941BE3E" w14:textId="3C0894C3"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18.0</w:t>
            </w:r>
          </w:p>
        </w:tc>
        <w:tc>
          <w:tcPr>
            <w:tcW w:w="147" w:type="pct"/>
            <w:shd w:val="clear" w:color="auto" w:fill="FFFFFF" w:themeFill="background1"/>
          </w:tcPr>
          <w:p w14:paraId="2A2C12B0" w14:textId="303FDBB3"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18.0</w:t>
            </w:r>
          </w:p>
        </w:tc>
        <w:tc>
          <w:tcPr>
            <w:tcW w:w="147" w:type="pct"/>
            <w:shd w:val="clear" w:color="auto" w:fill="FFFFFF" w:themeFill="background1"/>
          </w:tcPr>
          <w:p w14:paraId="77D5AC52" w14:textId="1CDC3A38"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18.0</w:t>
            </w:r>
          </w:p>
        </w:tc>
        <w:tc>
          <w:tcPr>
            <w:tcW w:w="147" w:type="pct"/>
            <w:shd w:val="clear" w:color="auto" w:fill="FFFFFF" w:themeFill="background1"/>
          </w:tcPr>
          <w:p w14:paraId="5B40C371" w14:textId="47B2482A"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18.0</w:t>
            </w:r>
          </w:p>
        </w:tc>
        <w:tc>
          <w:tcPr>
            <w:tcW w:w="147" w:type="pct"/>
            <w:shd w:val="clear" w:color="auto" w:fill="FFFFFF" w:themeFill="background1"/>
          </w:tcPr>
          <w:p w14:paraId="5E96B76A" w14:textId="1D875A96"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18.0</w:t>
            </w:r>
          </w:p>
        </w:tc>
        <w:tc>
          <w:tcPr>
            <w:tcW w:w="147" w:type="pct"/>
            <w:shd w:val="clear" w:color="auto" w:fill="FFFFFF" w:themeFill="background1"/>
          </w:tcPr>
          <w:p w14:paraId="570756E4" w14:textId="6CAAF279"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17.6</w:t>
            </w:r>
          </w:p>
        </w:tc>
        <w:tc>
          <w:tcPr>
            <w:tcW w:w="147" w:type="pct"/>
            <w:shd w:val="clear" w:color="auto" w:fill="FFFFFF" w:themeFill="background1"/>
          </w:tcPr>
          <w:p w14:paraId="4F9D4C8F" w14:textId="7524FED2"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17.6</w:t>
            </w:r>
          </w:p>
        </w:tc>
        <w:tc>
          <w:tcPr>
            <w:tcW w:w="147" w:type="pct"/>
            <w:shd w:val="clear" w:color="auto" w:fill="FFFFFF" w:themeFill="background1"/>
          </w:tcPr>
          <w:p w14:paraId="608EDAB8" w14:textId="2750A9AA"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17.6</w:t>
            </w:r>
          </w:p>
        </w:tc>
        <w:tc>
          <w:tcPr>
            <w:tcW w:w="147" w:type="pct"/>
            <w:shd w:val="clear" w:color="auto" w:fill="FFFFFF" w:themeFill="background1"/>
          </w:tcPr>
          <w:p w14:paraId="6369BDB4" w14:textId="5C899D79"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17.6</w:t>
            </w:r>
          </w:p>
        </w:tc>
        <w:tc>
          <w:tcPr>
            <w:tcW w:w="147" w:type="pct"/>
            <w:shd w:val="clear" w:color="auto" w:fill="FFFFFF" w:themeFill="background1"/>
          </w:tcPr>
          <w:p w14:paraId="6A9F7BB4" w14:textId="266B0612"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17.6</w:t>
            </w:r>
          </w:p>
        </w:tc>
        <w:tc>
          <w:tcPr>
            <w:tcW w:w="147" w:type="pct"/>
            <w:shd w:val="clear" w:color="auto" w:fill="FFFFFF" w:themeFill="background1"/>
          </w:tcPr>
          <w:p w14:paraId="03599604" w14:textId="72D4B594"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17.2</w:t>
            </w:r>
          </w:p>
        </w:tc>
        <w:tc>
          <w:tcPr>
            <w:tcW w:w="147" w:type="pct"/>
            <w:shd w:val="clear" w:color="auto" w:fill="FFFFFF" w:themeFill="background1"/>
          </w:tcPr>
          <w:p w14:paraId="1EDCC0F7" w14:textId="6546F52F"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17.2</w:t>
            </w:r>
          </w:p>
        </w:tc>
        <w:tc>
          <w:tcPr>
            <w:tcW w:w="147" w:type="pct"/>
            <w:shd w:val="clear" w:color="auto" w:fill="FFFFFF" w:themeFill="background1"/>
          </w:tcPr>
          <w:p w14:paraId="15E38F56" w14:textId="6E39072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17.2</w:t>
            </w:r>
          </w:p>
        </w:tc>
        <w:tc>
          <w:tcPr>
            <w:tcW w:w="147" w:type="pct"/>
            <w:shd w:val="clear" w:color="auto" w:fill="FFFFFF" w:themeFill="background1"/>
          </w:tcPr>
          <w:p w14:paraId="55FE9448" w14:textId="1CD55A43"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17.2</w:t>
            </w:r>
          </w:p>
        </w:tc>
        <w:tc>
          <w:tcPr>
            <w:tcW w:w="147" w:type="pct"/>
            <w:shd w:val="clear" w:color="auto" w:fill="FFFFFF" w:themeFill="background1"/>
          </w:tcPr>
          <w:p w14:paraId="228B7748" w14:textId="3FF47B34"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17.2</w:t>
            </w:r>
          </w:p>
        </w:tc>
        <w:tc>
          <w:tcPr>
            <w:tcW w:w="148" w:type="pct"/>
            <w:shd w:val="clear" w:color="auto" w:fill="FFFFFF" w:themeFill="background1"/>
          </w:tcPr>
          <w:p w14:paraId="5B6BD8ED" w14:textId="7178110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16.6</w:t>
            </w:r>
            <w:r w:rsidR="00336D07" w:rsidRPr="00336D07">
              <w:rPr>
                <w:rFonts w:cs="Arial"/>
                <w:color w:val="4A4D56"/>
                <w:vertAlign w:val="superscript"/>
              </w:rPr>
              <w:t>†</w:t>
            </w:r>
          </w:p>
        </w:tc>
      </w:tr>
      <w:tr w:rsidR="00562626" w14:paraId="1D02330C" w14:textId="77777777" w:rsidTr="007948EE">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54F7CB41" w14:textId="220EC5D1" w:rsidR="007948EE" w:rsidRPr="007948EE" w:rsidRDefault="007948EE" w:rsidP="007948EE">
            <w:pPr>
              <w:pStyle w:val="TableLeftText"/>
              <w:rPr>
                <w:color w:val="4A4D56"/>
                <w:sz w:val="18"/>
                <w:szCs w:val="18"/>
              </w:rPr>
            </w:pPr>
            <w:r w:rsidRPr="007948EE">
              <w:rPr>
                <w:sz w:val="18"/>
                <w:szCs w:val="18"/>
              </w:rPr>
              <w:t>Biomethane from wastewater</w:t>
            </w:r>
          </w:p>
        </w:tc>
        <w:tc>
          <w:tcPr>
            <w:tcW w:w="147" w:type="pct"/>
            <w:shd w:val="clear" w:color="auto" w:fill="FFFFFF" w:themeFill="background1"/>
          </w:tcPr>
          <w:p w14:paraId="594481A4" w14:textId="7F0B8459"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40.3</w:t>
            </w:r>
          </w:p>
        </w:tc>
        <w:tc>
          <w:tcPr>
            <w:tcW w:w="147" w:type="pct"/>
            <w:shd w:val="clear" w:color="auto" w:fill="FFFFFF" w:themeFill="background1"/>
          </w:tcPr>
          <w:p w14:paraId="342E5B47" w14:textId="77E15180"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40.3</w:t>
            </w:r>
          </w:p>
        </w:tc>
        <w:tc>
          <w:tcPr>
            <w:tcW w:w="147" w:type="pct"/>
            <w:shd w:val="clear" w:color="auto" w:fill="FFFFFF" w:themeFill="background1"/>
          </w:tcPr>
          <w:p w14:paraId="71707F71" w14:textId="1A008F6B"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37.6</w:t>
            </w:r>
          </w:p>
        </w:tc>
        <w:tc>
          <w:tcPr>
            <w:tcW w:w="147" w:type="pct"/>
            <w:shd w:val="clear" w:color="auto" w:fill="FFFFFF" w:themeFill="background1"/>
          </w:tcPr>
          <w:p w14:paraId="03D60B4A" w14:textId="228AAF59"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37.6</w:t>
            </w:r>
          </w:p>
        </w:tc>
        <w:tc>
          <w:tcPr>
            <w:tcW w:w="147" w:type="pct"/>
            <w:shd w:val="clear" w:color="auto" w:fill="FFFFFF" w:themeFill="background1"/>
          </w:tcPr>
          <w:p w14:paraId="457BC576" w14:textId="3D75BB01"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37.6</w:t>
            </w:r>
          </w:p>
        </w:tc>
        <w:tc>
          <w:tcPr>
            <w:tcW w:w="147" w:type="pct"/>
            <w:shd w:val="clear" w:color="auto" w:fill="FFFFFF" w:themeFill="background1"/>
          </w:tcPr>
          <w:p w14:paraId="385326D2" w14:textId="6893EEC0"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37.6</w:t>
            </w:r>
          </w:p>
        </w:tc>
        <w:tc>
          <w:tcPr>
            <w:tcW w:w="147" w:type="pct"/>
            <w:shd w:val="clear" w:color="auto" w:fill="FFFFFF" w:themeFill="background1"/>
          </w:tcPr>
          <w:p w14:paraId="69050FCB" w14:textId="0E3B3057"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37.6</w:t>
            </w:r>
          </w:p>
        </w:tc>
        <w:tc>
          <w:tcPr>
            <w:tcW w:w="147" w:type="pct"/>
            <w:shd w:val="clear" w:color="auto" w:fill="FFFFFF" w:themeFill="background1"/>
          </w:tcPr>
          <w:p w14:paraId="023BBFDB" w14:textId="0FBA455C"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30.2</w:t>
            </w:r>
          </w:p>
        </w:tc>
        <w:tc>
          <w:tcPr>
            <w:tcW w:w="147" w:type="pct"/>
            <w:shd w:val="clear" w:color="auto" w:fill="FFFFFF" w:themeFill="background1"/>
          </w:tcPr>
          <w:p w14:paraId="493BF79F" w14:textId="7803A665"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30.2</w:t>
            </w:r>
          </w:p>
        </w:tc>
        <w:tc>
          <w:tcPr>
            <w:tcW w:w="147" w:type="pct"/>
            <w:shd w:val="clear" w:color="auto" w:fill="FFFFFF" w:themeFill="background1"/>
          </w:tcPr>
          <w:p w14:paraId="1C97580C" w14:textId="3F1377F0"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30.2</w:t>
            </w:r>
          </w:p>
        </w:tc>
        <w:tc>
          <w:tcPr>
            <w:tcW w:w="147" w:type="pct"/>
            <w:shd w:val="clear" w:color="auto" w:fill="FFFFFF" w:themeFill="background1"/>
          </w:tcPr>
          <w:p w14:paraId="75198133" w14:textId="68ED06C8"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30.2</w:t>
            </w:r>
          </w:p>
        </w:tc>
        <w:tc>
          <w:tcPr>
            <w:tcW w:w="147" w:type="pct"/>
            <w:shd w:val="clear" w:color="auto" w:fill="FFFFFF" w:themeFill="background1"/>
          </w:tcPr>
          <w:p w14:paraId="6E7E6E3F" w14:textId="682A0344"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30.2</w:t>
            </w:r>
          </w:p>
        </w:tc>
        <w:tc>
          <w:tcPr>
            <w:tcW w:w="147" w:type="pct"/>
            <w:shd w:val="clear" w:color="auto" w:fill="FFFFFF" w:themeFill="background1"/>
          </w:tcPr>
          <w:p w14:paraId="0358564F" w14:textId="2ECC3506"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29.0</w:t>
            </w:r>
          </w:p>
        </w:tc>
        <w:tc>
          <w:tcPr>
            <w:tcW w:w="147" w:type="pct"/>
            <w:shd w:val="clear" w:color="auto" w:fill="FFFFFF" w:themeFill="background1"/>
          </w:tcPr>
          <w:p w14:paraId="6EF3CC12" w14:textId="6B1B018A"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29.0</w:t>
            </w:r>
          </w:p>
        </w:tc>
        <w:tc>
          <w:tcPr>
            <w:tcW w:w="147" w:type="pct"/>
            <w:shd w:val="clear" w:color="auto" w:fill="FFFFFF" w:themeFill="background1"/>
          </w:tcPr>
          <w:p w14:paraId="19E8B14C" w14:textId="06170D96"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29.0</w:t>
            </w:r>
          </w:p>
        </w:tc>
        <w:tc>
          <w:tcPr>
            <w:tcW w:w="147" w:type="pct"/>
            <w:shd w:val="clear" w:color="auto" w:fill="FFFFFF" w:themeFill="background1"/>
          </w:tcPr>
          <w:p w14:paraId="0EE673AC" w14:textId="3D70F01C"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29.0</w:t>
            </w:r>
          </w:p>
        </w:tc>
        <w:tc>
          <w:tcPr>
            <w:tcW w:w="147" w:type="pct"/>
            <w:shd w:val="clear" w:color="auto" w:fill="FFFFFF" w:themeFill="background1"/>
          </w:tcPr>
          <w:p w14:paraId="39F056C4" w14:textId="30B839FD"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29.0</w:t>
            </w:r>
          </w:p>
        </w:tc>
        <w:tc>
          <w:tcPr>
            <w:tcW w:w="147" w:type="pct"/>
            <w:shd w:val="clear" w:color="auto" w:fill="FFFFFF" w:themeFill="background1"/>
          </w:tcPr>
          <w:p w14:paraId="543D6967" w14:textId="26957441"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28.6</w:t>
            </w:r>
          </w:p>
        </w:tc>
        <w:tc>
          <w:tcPr>
            <w:tcW w:w="147" w:type="pct"/>
            <w:shd w:val="clear" w:color="auto" w:fill="FFFFFF" w:themeFill="background1"/>
          </w:tcPr>
          <w:p w14:paraId="53018A34" w14:textId="4E99B72E"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28.6</w:t>
            </w:r>
          </w:p>
        </w:tc>
        <w:tc>
          <w:tcPr>
            <w:tcW w:w="147" w:type="pct"/>
            <w:shd w:val="clear" w:color="auto" w:fill="FFFFFF" w:themeFill="background1"/>
          </w:tcPr>
          <w:p w14:paraId="7D1FDB68" w14:textId="7A154A2E"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28.6</w:t>
            </w:r>
          </w:p>
        </w:tc>
        <w:tc>
          <w:tcPr>
            <w:tcW w:w="147" w:type="pct"/>
            <w:shd w:val="clear" w:color="auto" w:fill="FFFFFF" w:themeFill="background1"/>
          </w:tcPr>
          <w:p w14:paraId="4A3121E9" w14:textId="1DCBCB30"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28.6</w:t>
            </w:r>
          </w:p>
        </w:tc>
        <w:tc>
          <w:tcPr>
            <w:tcW w:w="147" w:type="pct"/>
            <w:shd w:val="clear" w:color="auto" w:fill="FFFFFF" w:themeFill="background1"/>
          </w:tcPr>
          <w:p w14:paraId="59EECEAB" w14:textId="2E3EA94F"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28.6</w:t>
            </w:r>
          </w:p>
        </w:tc>
        <w:tc>
          <w:tcPr>
            <w:tcW w:w="147" w:type="pct"/>
            <w:shd w:val="clear" w:color="auto" w:fill="FFFFFF" w:themeFill="background1"/>
          </w:tcPr>
          <w:p w14:paraId="397B6CF5" w14:textId="34F2105F"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28.2</w:t>
            </w:r>
          </w:p>
        </w:tc>
        <w:tc>
          <w:tcPr>
            <w:tcW w:w="147" w:type="pct"/>
            <w:shd w:val="clear" w:color="auto" w:fill="FFFFFF" w:themeFill="background1"/>
          </w:tcPr>
          <w:p w14:paraId="4F0FCFFD" w14:textId="456AC9BA"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28.2</w:t>
            </w:r>
          </w:p>
        </w:tc>
        <w:tc>
          <w:tcPr>
            <w:tcW w:w="147" w:type="pct"/>
            <w:shd w:val="clear" w:color="auto" w:fill="FFFFFF" w:themeFill="background1"/>
          </w:tcPr>
          <w:p w14:paraId="2CAB06B6" w14:textId="2CC9CDC5"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28.2</w:t>
            </w:r>
          </w:p>
        </w:tc>
        <w:tc>
          <w:tcPr>
            <w:tcW w:w="147" w:type="pct"/>
            <w:shd w:val="clear" w:color="auto" w:fill="FFFFFF" w:themeFill="background1"/>
          </w:tcPr>
          <w:p w14:paraId="382D39E0" w14:textId="54E7D94E"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28.2</w:t>
            </w:r>
          </w:p>
        </w:tc>
        <w:tc>
          <w:tcPr>
            <w:tcW w:w="147" w:type="pct"/>
            <w:shd w:val="clear" w:color="auto" w:fill="FFFFFF" w:themeFill="background1"/>
          </w:tcPr>
          <w:p w14:paraId="3A122456" w14:textId="5D885DE6"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28.2</w:t>
            </w:r>
          </w:p>
        </w:tc>
        <w:tc>
          <w:tcPr>
            <w:tcW w:w="148" w:type="pct"/>
            <w:shd w:val="clear" w:color="auto" w:fill="FFFFFF" w:themeFill="background1"/>
          </w:tcPr>
          <w:p w14:paraId="6508C88A" w14:textId="17C4AA9D"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27.6</w:t>
            </w:r>
            <w:r w:rsidR="00336D07" w:rsidRPr="00336D07">
              <w:rPr>
                <w:rFonts w:cs="Arial"/>
                <w:color w:val="4A4D56"/>
                <w:vertAlign w:val="superscript"/>
              </w:rPr>
              <w:t>†</w:t>
            </w:r>
          </w:p>
        </w:tc>
      </w:tr>
      <w:tr w:rsidR="00562626" w14:paraId="14EF6851" w14:textId="77777777" w:rsidTr="007948EE">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43FF89B0" w14:textId="24013229" w:rsidR="007948EE" w:rsidRPr="007948EE" w:rsidRDefault="007948EE" w:rsidP="007948EE">
            <w:pPr>
              <w:pStyle w:val="TableLeftText"/>
              <w:rPr>
                <w:sz w:val="18"/>
                <w:szCs w:val="18"/>
              </w:rPr>
            </w:pPr>
            <w:r w:rsidRPr="007948EE">
              <w:rPr>
                <w:sz w:val="18"/>
                <w:szCs w:val="18"/>
              </w:rPr>
              <w:t>Biodiesel from soybeans </w:t>
            </w:r>
          </w:p>
        </w:tc>
        <w:tc>
          <w:tcPr>
            <w:tcW w:w="147" w:type="pct"/>
            <w:shd w:val="clear" w:color="auto" w:fill="FFFFFF" w:themeFill="background1"/>
          </w:tcPr>
          <w:p w14:paraId="0DD5E7E6" w14:textId="05117812"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26.4</w:t>
            </w:r>
          </w:p>
        </w:tc>
        <w:tc>
          <w:tcPr>
            <w:tcW w:w="147" w:type="pct"/>
            <w:shd w:val="clear" w:color="auto" w:fill="FFFFFF" w:themeFill="background1"/>
          </w:tcPr>
          <w:p w14:paraId="622E205E" w14:textId="0A37EC09"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26.4</w:t>
            </w:r>
          </w:p>
        </w:tc>
        <w:tc>
          <w:tcPr>
            <w:tcW w:w="147" w:type="pct"/>
            <w:shd w:val="clear" w:color="auto" w:fill="FFFFFF" w:themeFill="background1"/>
          </w:tcPr>
          <w:p w14:paraId="1E9CB0BC" w14:textId="1E66D02A"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25.9</w:t>
            </w:r>
          </w:p>
        </w:tc>
        <w:tc>
          <w:tcPr>
            <w:tcW w:w="147" w:type="pct"/>
            <w:shd w:val="clear" w:color="auto" w:fill="FFFFFF" w:themeFill="background1"/>
          </w:tcPr>
          <w:p w14:paraId="7C34D610" w14:textId="694CAC41"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25.9</w:t>
            </w:r>
          </w:p>
        </w:tc>
        <w:tc>
          <w:tcPr>
            <w:tcW w:w="147" w:type="pct"/>
            <w:shd w:val="clear" w:color="auto" w:fill="FFFFFF" w:themeFill="background1"/>
          </w:tcPr>
          <w:p w14:paraId="120525BE" w14:textId="3D792104"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25.9</w:t>
            </w:r>
          </w:p>
        </w:tc>
        <w:tc>
          <w:tcPr>
            <w:tcW w:w="147" w:type="pct"/>
            <w:shd w:val="clear" w:color="auto" w:fill="FFFFFF" w:themeFill="background1"/>
          </w:tcPr>
          <w:p w14:paraId="6A859C4C" w14:textId="6AF46367"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25.9</w:t>
            </w:r>
          </w:p>
        </w:tc>
        <w:tc>
          <w:tcPr>
            <w:tcW w:w="147" w:type="pct"/>
            <w:shd w:val="clear" w:color="auto" w:fill="FFFFFF" w:themeFill="background1"/>
          </w:tcPr>
          <w:p w14:paraId="22CA0B3E" w14:textId="3C96552A"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25.9</w:t>
            </w:r>
          </w:p>
        </w:tc>
        <w:tc>
          <w:tcPr>
            <w:tcW w:w="147" w:type="pct"/>
            <w:shd w:val="clear" w:color="auto" w:fill="FFFFFF" w:themeFill="background1"/>
          </w:tcPr>
          <w:p w14:paraId="3C1E1820" w14:textId="6E4DF1B7"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25.0</w:t>
            </w:r>
          </w:p>
        </w:tc>
        <w:tc>
          <w:tcPr>
            <w:tcW w:w="147" w:type="pct"/>
            <w:shd w:val="clear" w:color="auto" w:fill="FFFFFF" w:themeFill="background1"/>
          </w:tcPr>
          <w:p w14:paraId="69904BDB" w14:textId="3F3EE1E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25.0</w:t>
            </w:r>
          </w:p>
        </w:tc>
        <w:tc>
          <w:tcPr>
            <w:tcW w:w="147" w:type="pct"/>
            <w:shd w:val="clear" w:color="auto" w:fill="FFFFFF" w:themeFill="background1"/>
          </w:tcPr>
          <w:p w14:paraId="5FBAEE4B" w14:textId="6A6E4964"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25.0</w:t>
            </w:r>
          </w:p>
        </w:tc>
        <w:tc>
          <w:tcPr>
            <w:tcW w:w="147" w:type="pct"/>
            <w:shd w:val="clear" w:color="auto" w:fill="FFFFFF" w:themeFill="background1"/>
          </w:tcPr>
          <w:p w14:paraId="21549601" w14:textId="24026AA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25.0</w:t>
            </w:r>
          </w:p>
        </w:tc>
        <w:tc>
          <w:tcPr>
            <w:tcW w:w="147" w:type="pct"/>
            <w:shd w:val="clear" w:color="auto" w:fill="FFFFFF" w:themeFill="background1"/>
          </w:tcPr>
          <w:p w14:paraId="450B6746" w14:textId="0BC35787"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25.0</w:t>
            </w:r>
          </w:p>
        </w:tc>
        <w:tc>
          <w:tcPr>
            <w:tcW w:w="147" w:type="pct"/>
            <w:shd w:val="clear" w:color="auto" w:fill="FFFFFF" w:themeFill="background1"/>
          </w:tcPr>
          <w:p w14:paraId="6185CA22" w14:textId="60018000"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24.8</w:t>
            </w:r>
          </w:p>
        </w:tc>
        <w:tc>
          <w:tcPr>
            <w:tcW w:w="147" w:type="pct"/>
            <w:shd w:val="clear" w:color="auto" w:fill="FFFFFF" w:themeFill="background1"/>
          </w:tcPr>
          <w:p w14:paraId="64A87528" w14:textId="3498756A"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24.8</w:t>
            </w:r>
          </w:p>
        </w:tc>
        <w:tc>
          <w:tcPr>
            <w:tcW w:w="147" w:type="pct"/>
            <w:shd w:val="clear" w:color="auto" w:fill="FFFFFF" w:themeFill="background1"/>
          </w:tcPr>
          <w:p w14:paraId="2DA37492" w14:textId="57DD2F2F"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24.8</w:t>
            </w:r>
          </w:p>
        </w:tc>
        <w:tc>
          <w:tcPr>
            <w:tcW w:w="147" w:type="pct"/>
            <w:shd w:val="clear" w:color="auto" w:fill="FFFFFF" w:themeFill="background1"/>
          </w:tcPr>
          <w:p w14:paraId="72BBD43C" w14:textId="5B680972"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24.8</w:t>
            </w:r>
          </w:p>
        </w:tc>
        <w:tc>
          <w:tcPr>
            <w:tcW w:w="147" w:type="pct"/>
            <w:shd w:val="clear" w:color="auto" w:fill="FFFFFF" w:themeFill="background1"/>
          </w:tcPr>
          <w:p w14:paraId="2ACA01C7" w14:textId="413F3F6B"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24.8</w:t>
            </w:r>
          </w:p>
        </w:tc>
        <w:tc>
          <w:tcPr>
            <w:tcW w:w="147" w:type="pct"/>
            <w:shd w:val="clear" w:color="auto" w:fill="FFFFFF" w:themeFill="background1"/>
          </w:tcPr>
          <w:p w14:paraId="22B2EC10" w14:textId="3270C004"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24.7</w:t>
            </w:r>
          </w:p>
        </w:tc>
        <w:tc>
          <w:tcPr>
            <w:tcW w:w="147" w:type="pct"/>
            <w:shd w:val="clear" w:color="auto" w:fill="FFFFFF" w:themeFill="background1"/>
          </w:tcPr>
          <w:p w14:paraId="4516E134" w14:textId="2A83329F"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24.7</w:t>
            </w:r>
          </w:p>
        </w:tc>
        <w:tc>
          <w:tcPr>
            <w:tcW w:w="147" w:type="pct"/>
            <w:shd w:val="clear" w:color="auto" w:fill="FFFFFF" w:themeFill="background1"/>
          </w:tcPr>
          <w:p w14:paraId="19CA54FF" w14:textId="0639B716"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24.7</w:t>
            </w:r>
          </w:p>
        </w:tc>
        <w:tc>
          <w:tcPr>
            <w:tcW w:w="147" w:type="pct"/>
            <w:shd w:val="clear" w:color="auto" w:fill="FFFFFF" w:themeFill="background1"/>
          </w:tcPr>
          <w:p w14:paraId="022B6A98" w14:textId="6F3178B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24.7</w:t>
            </w:r>
          </w:p>
        </w:tc>
        <w:tc>
          <w:tcPr>
            <w:tcW w:w="147" w:type="pct"/>
            <w:shd w:val="clear" w:color="auto" w:fill="FFFFFF" w:themeFill="background1"/>
          </w:tcPr>
          <w:p w14:paraId="56A50649" w14:textId="57F2023D"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24.7</w:t>
            </w:r>
          </w:p>
        </w:tc>
        <w:tc>
          <w:tcPr>
            <w:tcW w:w="147" w:type="pct"/>
            <w:shd w:val="clear" w:color="auto" w:fill="FFFFFF" w:themeFill="background1"/>
          </w:tcPr>
          <w:p w14:paraId="13EEF9CA" w14:textId="7A4CC9A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24.7</w:t>
            </w:r>
          </w:p>
        </w:tc>
        <w:tc>
          <w:tcPr>
            <w:tcW w:w="147" w:type="pct"/>
            <w:shd w:val="clear" w:color="auto" w:fill="FFFFFF" w:themeFill="background1"/>
          </w:tcPr>
          <w:p w14:paraId="51F167A4" w14:textId="6EE20B26"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24.7</w:t>
            </w:r>
          </w:p>
        </w:tc>
        <w:tc>
          <w:tcPr>
            <w:tcW w:w="147" w:type="pct"/>
            <w:shd w:val="clear" w:color="auto" w:fill="FFFFFF" w:themeFill="background1"/>
          </w:tcPr>
          <w:p w14:paraId="3521CD54" w14:textId="70D2A338"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24.7</w:t>
            </w:r>
          </w:p>
        </w:tc>
        <w:tc>
          <w:tcPr>
            <w:tcW w:w="147" w:type="pct"/>
            <w:shd w:val="clear" w:color="auto" w:fill="FFFFFF" w:themeFill="background1"/>
          </w:tcPr>
          <w:p w14:paraId="6CCEE5AE" w14:textId="5BCC8345"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24.7</w:t>
            </w:r>
          </w:p>
        </w:tc>
        <w:tc>
          <w:tcPr>
            <w:tcW w:w="147" w:type="pct"/>
            <w:shd w:val="clear" w:color="auto" w:fill="FFFFFF" w:themeFill="background1"/>
          </w:tcPr>
          <w:p w14:paraId="584E4011" w14:textId="4FD4C582"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24.7</w:t>
            </w:r>
          </w:p>
        </w:tc>
        <w:tc>
          <w:tcPr>
            <w:tcW w:w="148" w:type="pct"/>
            <w:shd w:val="clear" w:color="auto" w:fill="FFFFFF" w:themeFill="background1"/>
          </w:tcPr>
          <w:p w14:paraId="4CFCAFC1" w14:textId="6ED2111D"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24.6</w:t>
            </w:r>
            <w:r w:rsidR="00336D07" w:rsidRPr="00336D07">
              <w:rPr>
                <w:rFonts w:cs="Arial"/>
                <w:color w:val="4A4D56"/>
                <w:vertAlign w:val="superscript"/>
              </w:rPr>
              <w:t>†</w:t>
            </w:r>
          </w:p>
        </w:tc>
      </w:tr>
      <w:tr w:rsidR="00562626" w14:paraId="6CB68224" w14:textId="77777777" w:rsidTr="007948EE">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44295949" w14:textId="3347F7E4" w:rsidR="007948EE" w:rsidRPr="007948EE" w:rsidRDefault="007948EE" w:rsidP="007948EE">
            <w:pPr>
              <w:pStyle w:val="TableLeftText"/>
              <w:rPr>
                <w:sz w:val="18"/>
                <w:szCs w:val="18"/>
              </w:rPr>
            </w:pPr>
            <w:r w:rsidRPr="007948EE">
              <w:rPr>
                <w:sz w:val="18"/>
                <w:szCs w:val="18"/>
              </w:rPr>
              <w:t>Biodiesel from canola</w:t>
            </w:r>
          </w:p>
        </w:tc>
        <w:tc>
          <w:tcPr>
            <w:tcW w:w="147" w:type="pct"/>
            <w:shd w:val="clear" w:color="auto" w:fill="FFFFFF" w:themeFill="background1"/>
          </w:tcPr>
          <w:p w14:paraId="6DE0F2D7" w14:textId="00C68D88"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25.8</w:t>
            </w:r>
          </w:p>
        </w:tc>
        <w:tc>
          <w:tcPr>
            <w:tcW w:w="147" w:type="pct"/>
            <w:shd w:val="clear" w:color="auto" w:fill="FFFFFF" w:themeFill="background1"/>
          </w:tcPr>
          <w:p w14:paraId="69D11498" w14:textId="5C305CA4"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25.8</w:t>
            </w:r>
          </w:p>
        </w:tc>
        <w:tc>
          <w:tcPr>
            <w:tcW w:w="147" w:type="pct"/>
            <w:shd w:val="clear" w:color="auto" w:fill="FFFFFF" w:themeFill="background1"/>
          </w:tcPr>
          <w:p w14:paraId="15100594" w14:textId="465EEF4C"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25.5</w:t>
            </w:r>
          </w:p>
        </w:tc>
        <w:tc>
          <w:tcPr>
            <w:tcW w:w="147" w:type="pct"/>
            <w:shd w:val="clear" w:color="auto" w:fill="FFFFFF" w:themeFill="background1"/>
          </w:tcPr>
          <w:p w14:paraId="22B2C9FF" w14:textId="430F153E"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25.5</w:t>
            </w:r>
          </w:p>
        </w:tc>
        <w:tc>
          <w:tcPr>
            <w:tcW w:w="147" w:type="pct"/>
            <w:shd w:val="clear" w:color="auto" w:fill="FFFFFF" w:themeFill="background1"/>
          </w:tcPr>
          <w:p w14:paraId="3FFBFD33" w14:textId="34AED52C"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25.5</w:t>
            </w:r>
          </w:p>
        </w:tc>
        <w:tc>
          <w:tcPr>
            <w:tcW w:w="147" w:type="pct"/>
            <w:shd w:val="clear" w:color="auto" w:fill="FFFFFF" w:themeFill="background1"/>
          </w:tcPr>
          <w:p w14:paraId="412D64E5" w14:textId="3234D72C"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25.5</w:t>
            </w:r>
          </w:p>
        </w:tc>
        <w:tc>
          <w:tcPr>
            <w:tcW w:w="147" w:type="pct"/>
            <w:shd w:val="clear" w:color="auto" w:fill="FFFFFF" w:themeFill="background1"/>
          </w:tcPr>
          <w:p w14:paraId="05847718" w14:textId="302F72D3"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25.5</w:t>
            </w:r>
          </w:p>
        </w:tc>
        <w:tc>
          <w:tcPr>
            <w:tcW w:w="147" w:type="pct"/>
            <w:shd w:val="clear" w:color="auto" w:fill="FFFFFF" w:themeFill="background1"/>
          </w:tcPr>
          <w:p w14:paraId="45D97549" w14:textId="2754D934"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24.6</w:t>
            </w:r>
          </w:p>
        </w:tc>
        <w:tc>
          <w:tcPr>
            <w:tcW w:w="147" w:type="pct"/>
            <w:shd w:val="clear" w:color="auto" w:fill="FFFFFF" w:themeFill="background1"/>
          </w:tcPr>
          <w:p w14:paraId="427559BF" w14:textId="7D1D5D7A"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24.6</w:t>
            </w:r>
          </w:p>
        </w:tc>
        <w:tc>
          <w:tcPr>
            <w:tcW w:w="147" w:type="pct"/>
            <w:shd w:val="clear" w:color="auto" w:fill="FFFFFF" w:themeFill="background1"/>
          </w:tcPr>
          <w:p w14:paraId="2B00C144" w14:textId="6A981D5C"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24.6</w:t>
            </w:r>
          </w:p>
        </w:tc>
        <w:tc>
          <w:tcPr>
            <w:tcW w:w="147" w:type="pct"/>
            <w:shd w:val="clear" w:color="auto" w:fill="FFFFFF" w:themeFill="background1"/>
          </w:tcPr>
          <w:p w14:paraId="57030F1D" w14:textId="68AB3EFE"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24.6</w:t>
            </w:r>
          </w:p>
        </w:tc>
        <w:tc>
          <w:tcPr>
            <w:tcW w:w="147" w:type="pct"/>
            <w:shd w:val="clear" w:color="auto" w:fill="FFFFFF" w:themeFill="background1"/>
          </w:tcPr>
          <w:p w14:paraId="2B67BB54" w14:textId="0C9C77AF"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24.6</w:t>
            </w:r>
          </w:p>
        </w:tc>
        <w:tc>
          <w:tcPr>
            <w:tcW w:w="147" w:type="pct"/>
            <w:shd w:val="clear" w:color="auto" w:fill="FFFFFF" w:themeFill="background1"/>
          </w:tcPr>
          <w:p w14:paraId="458A5FA8" w14:textId="69A82D25"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24.4</w:t>
            </w:r>
          </w:p>
        </w:tc>
        <w:tc>
          <w:tcPr>
            <w:tcW w:w="147" w:type="pct"/>
            <w:shd w:val="clear" w:color="auto" w:fill="FFFFFF" w:themeFill="background1"/>
          </w:tcPr>
          <w:p w14:paraId="68847736" w14:textId="73D8C399"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24.4</w:t>
            </w:r>
          </w:p>
        </w:tc>
        <w:tc>
          <w:tcPr>
            <w:tcW w:w="147" w:type="pct"/>
            <w:shd w:val="clear" w:color="auto" w:fill="FFFFFF" w:themeFill="background1"/>
          </w:tcPr>
          <w:p w14:paraId="3CDE41E3" w14:textId="5DD4B8A5"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24.4</w:t>
            </w:r>
          </w:p>
        </w:tc>
        <w:tc>
          <w:tcPr>
            <w:tcW w:w="147" w:type="pct"/>
            <w:shd w:val="clear" w:color="auto" w:fill="FFFFFF" w:themeFill="background1"/>
          </w:tcPr>
          <w:p w14:paraId="35927131" w14:textId="44BC79B8"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24.4</w:t>
            </w:r>
          </w:p>
        </w:tc>
        <w:tc>
          <w:tcPr>
            <w:tcW w:w="147" w:type="pct"/>
            <w:shd w:val="clear" w:color="auto" w:fill="FFFFFF" w:themeFill="background1"/>
          </w:tcPr>
          <w:p w14:paraId="4E0D2277" w14:textId="0D965147"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24.4</w:t>
            </w:r>
          </w:p>
        </w:tc>
        <w:tc>
          <w:tcPr>
            <w:tcW w:w="147" w:type="pct"/>
            <w:shd w:val="clear" w:color="auto" w:fill="FFFFFF" w:themeFill="background1"/>
          </w:tcPr>
          <w:p w14:paraId="68F01BE0" w14:textId="5AB8C491"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24.4</w:t>
            </w:r>
          </w:p>
        </w:tc>
        <w:tc>
          <w:tcPr>
            <w:tcW w:w="147" w:type="pct"/>
            <w:shd w:val="clear" w:color="auto" w:fill="FFFFFF" w:themeFill="background1"/>
          </w:tcPr>
          <w:p w14:paraId="5E6A48C0" w14:textId="7D59DC38"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24.4</w:t>
            </w:r>
          </w:p>
        </w:tc>
        <w:tc>
          <w:tcPr>
            <w:tcW w:w="147" w:type="pct"/>
            <w:shd w:val="clear" w:color="auto" w:fill="FFFFFF" w:themeFill="background1"/>
          </w:tcPr>
          <w:p w14:paraId="2E75C891" w14:textId="7B623F9C"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24.4</w:t>
            </w:r>
          </w:p>
        </w:tc>
        <w:tc>
          <w:tcPr>
            <w:tcW w:w="147" w:type="pct"/>
            <w:shd w:val="clear" w:color="auto" w:fill="FFFFFF" w:themeFill="background1"/>
          </w:tcPr>
          <w:p w14:paraId="779C1BD8" w14:textId="032F39D6"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24.4</w:t>
            </w:r>
          </w:p>
        </w:tc>
        <w:tc>
          <w:tcPr>
            <w:tcW w:w="147" w:type="pct"/>
            <w:shd w:val="clear" w:color="auto" w:fill="FFFFFF" w:themeFill="background1"/>
          </w:tcPr>
          <w:p w14:paraId="3AE51E03" w14:textId="45CA8B74"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24.4</w:t>
            </w:r>
          </w:p>
        </w:tc>
        <w:tc>
          <w:tcPr>
            <w:tcW w:w="147" w:type="pct"/>
            <w:shd w:val="clear" w:color="auto" w:fill="FFFFFF" w:themeFill="background1"/>
          </w:tcPr>
          <w:p w14:paraId="02BD2C57" w14:textId="0654AA47"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24.3</w:t>
            </w:r>
          </w:p>
        </w:tc>
        <w:tc>
          <w:tcPr>
            <w:tcW w:w="147" w:type="pct"/>
            <w:shd w:val="clear" w:color="auto" w:fill="FFFFFF" w:themeFill="background1"/>
          </w:tcPr>
          <w:p w14:paraId="2E5AB184" w14:textId="791514B2"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24.3</w:t>
            </w:r>
          </w:p>
        </w:tc>
        <w:tc>
          <w:tcPr>
            <w:tcW w:w="147" w:type="pct"/>
            <w:shd w:val="clear" w:color="auto" w:fill="FFFFFF" w:themeFill="background1"/>
          </w:tcPr>
          <w:p w14:paraId="6858D95D" w14:textId="38C7E5A1"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24.3</w:t>
            </w:r>
          </w:p>
        </w:tc>
        <w:tc>
          <w:tcPr>
            <w:tcW w:w="147" w:type="pct"/>
            <w:shd w:val="clear" w:color="auto" w:fill="FFFFFF" w:themeFill="background1"/>
          </w:tcPr>
          <w:p w14:paraId="3397AF69" w14:textId="67C119CB"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24.3</w:t>
            </w:r>
          </w:p>
        </w:tc>
        <w:tc>
          <w:tcPr>
            <w:tcW w:w="147" w:type="pct"/>
            <w:shd w:val="clear" w:color="auto" w:fill="FFFFFF" w:themeFill="background1"/>
          </w:tcPr>
          <w:p w14:paraId="5D3114D4" w14:textId="76076572"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24.3</w:t>
            </w:r>
          </w:p>
        </w:tc>
        <w:tc>
          <w:tcPr>
            <w:tcW w:w="148" w:type="pct"/>
            <w:shd w:val="clear" w:color="auto" w:fill="FFFFFF" w:themeFill="background1"/>
          </w:tcPr>
          <w:p w14:paraId="3EF8E002" w14:textId="0BE77BB3"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24.2</w:t>
            </w:r>
            <w:r w:rsidR="00336D07" w:rsidRPr="00336D07">
              <w:rPr>
                <w:rFonts w:cs="Arial"/>
                <w:color w:val="4A4D56"/>
                <w:vertAlign w:val="superscript"/>
              </w:rPr>
              <w:t>†</w:t>
            </w:r>
          </w:p>
        </w:tc>
      </w:tr>
      <w:tr w:rsidR="00562626" w14:paraId="5D27CDBC" w14:textId="77777777" w:rsidTr="007948EE">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55654A9A" w14:textId="2089F902" w:rsidR="007948EE" w:rsidRPr="007948EE" w:rsidRDefault="007948EE" w:rsidP="007948EE">
            <w:pPr>
              <w:pStyle w:val="TableLeftText"/>
              <w:rPr>
                <w:sz w:val="18"/>
                <w:szCs w:val="18"/>
              </w:rPr>
            </w:pPr>
            <w:r w:rsidRPr="007948EE">
              <w:rPr>
                <w:sz w:val="18"/>
                <w:szCs w:val="18"/>
              </w:rPr>
              <w:t>Biodiesel from corn</w:t>
            </w:r>
          </w:p>
        </w:tc>
        <w:tc>
          <w:tcPr>
            <w:tcW w:w="147" w:type="pct"/>
            <w:shd w:val="clear" w:color="auto" w:fill="FFFFFF" w:themeFill="background1"/>
          </w:tcPr>
          <w:p w14:paraId="5580EFD9" w14:textId="694764D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9.9</w:t>
            </w:r>
          </w:p>
        </w:tc>
        <w:tc>
          <w:tcPr>
            <w:tcW w:w="147" w:type="pct"/>
            <w:shd w:val="clear" w:color="auto" w:fill="FFFFFF" w:themeFill="background1"/>
          </w:tcPr>
          <w:p w14:paraId="4E7E34F8" w14:textId="72F57DCD"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9.9</w:t>
            </w:r>
          </w:p>
        </w:tc>
        <w:tc>
          <w:tcPr>
            <w:tcW w:w="147" w:type="pct"/>
            <w:shd w:val="clear" w:color="auto" w:fill="FFFFFF" w:themeFill="background1"/>
          </w:tcPr>
          <w:p w14:paraId="5AC2DF77" w14:textId="4EE8038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9.3</w:t>
            </w:r>
          </w:p>
        </w:tc>
        <w:tc>
          <w:tcPr>
            <w:tcW w:w="147" w:type="pct"/>
            <w:shd w:val="clear" w:color="auto" w:fill="FFFFFF" w:themeFill="background1"/>
          </w:tcPr>
          <w:p w14:paraId="0103BC1D" w14:textId="35DD2F96"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9.3</w:t>
            </w:r>
          </w:p>
        </w:tc>
        <w:tc>
          <w:tcPr>
            <w:tcW w:w="147" w:type="pct"/>
            <w:shd w:val="clear" w:color="auto" w:fill="FFFFFF" w:themeFill="background1"/>
          </w:tcPr>
          <w:p w14:paraId="07545CE3" w14:textId="01774E89"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9.3</w:t>
            </w:r>
          </w:p>
        </w:tc>
        <w:tc>
          <w:tcPr>
            <w:tcW w:w="147" w:type="pct"/>
            <w:shd w:val="clear" w:color="auto" w:fill="FFFFFF" w:themeFill="background1"/>
          </w:tcPr>
          <w:p w14:paraId="4A7C145B" w14:textId="590C845B"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9.3</w:t>
            </w:r>
          </w:p>
        </w:tc>
        <w:tc>
          <w:tcPr>
            <w:tcW w:w="147" w:type="pct"/>
            <w:shd w:val="clear" w:color="auto" w:fill="FFFFFF" w:themeFill="background1"/>
          </w:tcPr>
          <w:p w14:paraId="1525CCA0" w14:textId="503E85C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9.3</w:t>
            </w:r>
          </w:p>
        </w:tc>
        <w:tc>
          <w:tcPr>
            <w:tcW w:w="147" w:type="pct"/>
            <w:shd w:val="clear" w:color="auto" w:fill="FFFFFF" w:themeFill="background1"/>
          </w:tcPr>
          <w:p w14:paraId="6627E4F3" w14:textId="09A0009D"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w:t>
            </w:r>
          </w:p>
        </w:tc>
        <w:tc>
          <w:tcPr>
            <w:tcW w:w="147" w:type="pct"/>
            <w:shd w:val="clear" w:color="auto" w:fill="FFFFFF" w:themeFill="background1"/>
          </w:tcPr>
          <w:p w14:paraId="23871B6A" w14:textId="5A44332B"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w:t>
            </w:r>
          </w:p>
        </w:tc>
        <w:tc>
          <w:tcPr>
            <w:tcW w:w="147" w:type="pct"/>
            <w:shd w:val="clear" w:color="auto" w:fill="FFFFFF" w:themeFill="background1"/>
          </w:tcPr>
          <w:p w14:paraId="113382E2" w14:textId="056BD1F1"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w:t>
            </w:r>
          </w:p>
        </w:tc>
        <w:tc>
          <w:tcPr>
            <w:tcW w:w="147" w:type="pct"/>
            <w:shd w:val="clear" w:color="auto" w:fill="FFFFFF" w:themeFill="background1"/>
          </w:tcPr>
          <w:p w14:paraId="0030D59F" w14:textId="1461AB73"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w:t>
            </w:r>
          </w:p>
        </w:tc>
        <w:tc>
          <w:tcPr>
            <w:tcW w:w="147" w:type="pct"/>
            <w:shd w:val="clear" w:color="auto" w:fill="FFFFFF" w:themeFill="background1"/>
          </w:tcPr>
          <w:p w14:paraId="6C7FED1B" w14:textId="01FB044B"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8.2</w:t>
            </w:r>
          </w:p>
        </w:tc>
        <w:tc>
          <w:tcPr>
            <w:tcW w:w="147" w:type="pct"/>
            <w:shd w:val="clear" w:color="auto" w:fill="FFFFFF" w:themeFill="background1"/>
          </w:tcPr>
          <w:p w14:paraId="02B8156E" w14:textId="15E0567D"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8.0</w:t>
            </w:r>
          </w:p>
        </w:tc>
        <w:tc>
          <w:tcPr>
            <w:tcW w:w="147" w:type="pct"/>
            <w:shd w:val="clear" w:color="auto" w:fill="FFFFFF" w:themeFill="background1"/>
          </w:tcPr>
          <w:p w14:paraId="6B1ADF1F" w14:textId="5A62B774"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8.0</w:t>
            </w:r>
          </w:p>
        </w:tc>
        <w:tc>
          <w:tcPr>
            <w:tcW w:w="147" w:type="pct"/>
            <w:shd w:val="clear" w:color="auto" w:fill="FFFFFF" w:themeFill="background1"/>
          </w:tcPr>
          <w:p w14:paraId="00EE9105" w14:textId="1824B6E8"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8.0</w:t>
            </w:r>
          </w:p>
        </w:tc>
        <w:tc>
          <w:tcPr>
            <w:tcW w:w="147" w:type="pct"/>
            <w:shd w:val="clear" w:color="auto" w:fill="FFFFFF" w:themeFill="background1"/>
          </w:tcPr>
          <w:p w14:paraId="5B3E0E75" w14:textId="5389ACFC"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8.0</w:t>
            </w:r>
          </w:p>
        </w:tc>
        <w:tc>
          <w:tcPr>
            <w:tcW w:w="147" w:type="pct"/>
            <w:shd w:val="clear" w:color="auto" w:fill="FFFFFF" w:themeFill="background1"/>
          </w:tcPr>
          <w:p w14:paraId="76BD8DB2" w14:textId="63BE1D0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8.0</w:t>
            </w:r>
          </w:p>
        </w:tc>
        <w:tc>
          <w:tcPr>
            <w:tcW w:w="147" w:type="pct"/>
            <w:shd w:val="clear" w:color="auto" w:fill="FFFFFF" w:themeFill="background1"/>
          </w:tcPr>
          <w:p w14:paraId="60F1E03F" w14:textId="0F6D964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8.0</w:t>
            </w:r>
          </w:p>
        </w:tc>
        <w:tc>
          <w:tcPr>
            <w:tcW w:w="147" w:type="pct"/>
            <w:shd w:val="clear" w:color="auto" w:fill="FFFFFF" w:themeFill="background1"/>
          </w:tcPr>
          <w:p w14:paraId="3A34B105" w14:textId="7A2BD73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8.0</w:t>
            </w:r>
          </w:p>
        </w:tc>
        <w:tc>
          <w:tcPr>
            <w:tcW w:w="147" w:type="pct"/>
            <w:shd w:val="clear" w:color="auto" w:fill="FFFFFF" w:themeFill="background1"/>
          </w:tcPr>
          <w:p w14:paraId="1277E862" w14:textId="7EED6C77"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8.0</w:t>
            </w:r>
          </w:p>
        </w:tc>
        <w:tc>
          <w:tcPr>
            <w:tcW w:w="147" w:type="pct"/>
            <w:shd w:val="clear" w:color="auto" w:fill="FFFFFF" w:themeFill="background1"/>
          </w:tcPr>
          <w:p w14:paraId="1D1AA9BB" w14:textId="756716AD"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8.0</w:t>
            </w:r>
          </w:p>
        </w:tc>
        <w:tc>
          <w:tcPr>
            <w:tcW w:w="147" w:type="pct"/>
            <w:shd w:val="clear" w:color="auto" w:fill="FFFFFF" w:themeFill="background1"/>
          </w:tcPr>
          <w:p w14:paraId="22EE3244" w14:textId="0EDDD806"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8.0</w:t>
            </w:r>
          </w:p>
        </w:tc>
        <w:tc>
          <w:tcPr>
            <w:tcW w:w="147" w:type="pct"/>
            <w:shd w:val="clear" w:color="auto" w:fill="FFFFFF" w:themeFill="background1"/>
          </w:tcPr>
          <w:p w14:paraId="270B318C" w14:textId="6FB50451"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7.9</w:t>
            </w:r>
          </w:p>
        </w:tc>
        <w:tc>
          <w:tcPr>
            <w:tcW w:w="147" w:type="pct"/>
            <w:shd w:val="clear" w:color="auto" w:fill="FFFFFF" w:themeFill="background1"/>
          </w:tcPr>
          <w:p w14:paraId="73788F57" w14:textId="0E7382BA"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7.9</w:t>
            </w:r>
          </w:p>
        </w:tc>
        <w:tc>
          <w:tcPr>
            <w:tcW w:w="147" w:type="pct"/>
            <w:shd w:val="clear" w:color="auto" w:fill="FFFFFF" w:themeFill="background1"/>
          </w:tcPr>
          <w:p w14:paraId="731FE162" w14:textId="006AD13F"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7.9</w:t>
            </w:r>
          </w:p>
        </w:tc>
        <w:tc>
          <w:tcPr>
            <w:tcW w:w="147" w:type="pct"/>
            <w:shd w:val="clear" w:color="auto" w:fill="FFFFFF" w:themeFill="background1"/>
          </w:tcPr>
          <w:p w14:paraId="29165248" w14:textId="1CEA0FCB"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7.9</w:t>
            </w:r>
          </w:p>
        </w:tc>
        <w:tc>
          <w:tcPr>
            <w:tcW w:w="147" w:type="pct"/>
            <w:shd w:val="clear" w:color="auto" w:fill="FFFFFF" w:themeFill="background1"/>
          </w:tcPr>
          <w:p w14:paraId="585F5A5D" w14:textId="5A6C912C"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7.9</w:t>
            </w:r>
          </w:p>
        </w:tc>
        <w:tc>
          <w:tcPr>
            <w:tcW w:w="148" w:type="pct"/>
            <w:shd w:val="clear" w:color="auto" w:fill="FFFFFF" w:themeFill="background1"/>
          </w:tcPr>
          <w:p w14:paraId="5D1A8331" w14:textId="120A33B2"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7.8</w:t>
            </w:r>
          </w:p>
        </w:tc>
      </w:tr>
      <w:tr w:rsidR="00C6101B" w14:paraId="0B2C0386" w14:textId="77777777" w:rsidTr="00E86632">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3CE3F829" w14:textId="721E76C8" w:rsidR="00C6101B" w:rsidRPr="007948EE" w:rsidRDefault="00C6101B" w:rsidP="00C6101B">
            <w:pPr>
              <w:pStyle w:val="TableLeftText"/>
              <w:rPr>
                <w:sz w:val="18"/>
                <w:szCs w:val="18"/>
              </w:rPr>
            </w:pPr>
            <w:r w:rsidRPr="007948EE">
              <w:rPr>
                <w:sz w:val="18"/>
                <w:szCs w:val="18"/>
              </w:rPr>
              <w:t xml:space="preserve">Biodiesel from </w:t>
            </w:r>
            <w:r>
              <w:rPr>
                <w:sz w:val="18"/>
                <w:szCs w:val="18"/>
              </w:rPr>
              <w:t>used cooking oil</w:t>
            </w:r>
          </w:p>
        </w:tc>
        <w:tc>
          <w:tcPr>
            <w:tcW w:w="147" w:type="pct"/>
          </w:tcPr>
          <w:p w14:paraId="652CDABF" w14:textId="6CE9FBED"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14.8</w:t>
            </w:r>
          </w:p>
        </w:tc>
        <w:tc>
          <w:tcPr>
            <w:tcW w:w="147" w:type="pct"/>
          </w:tcPr>
          <w:p w14:paraId="04D0C082" w14:textId="3339269E"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14.8</w:t>
            </w:r>
          </w:p>
        </w:tc>
        <w:tc>
          <w:tcPr>
            <w:tcW w:w="147" w:type="pct"/>
          </w:tcPr>
          <w:p w14:paraId="5775FD03" w14:textId="26EFEFB9"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14.3</w:t>
            </w:r>
          </w:p>
        </w:tc>
        <w:tc>
          <w:tcPr>
            <w:tcW w:w="147" w:type="pct"/>
          </w:tcPr>
          <w:p w14:paraId="6478485C" w14:textId="0029C8F3"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14.3</w:t>
            </w:r>
          </w:p>
        </w:tc>
        <w:tc>
          <w:tcPr>
            <w:tcW w:w="147" w:type="pct"/>
          </w:tcPr>
          <w:p w14:paraId="757CDD51" w14:textId="75610A54"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14.3</w:t>
            </w:r>
          </w:p>
        </w:tc>
        <w:tc>
          <w:tcPr>
            <w:tcW w:w="147" w:type="pct"/>
          </w:tcPr>
          <w:p w14:paraId="52435BD8" w14:textId="04B20C5B"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14.3</w:t>
            </w:r>
          </w:p>
        </w:tc>
        <w:tc>
          <w:tcPr>
            <w:tcW w:w="147" w:type="pct"/>
          </w:tcPr>
          <w:p w14:paraId="7D274B33" w14:textId="70974089"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14.3</w:t>
            </w:r>
          </w:p>
        </w:tc>
        <w:tc>
          <w:tcPr>
            <w:tcW w:w="147" w:type="pct"/>
          </w:tcPr>
          <w:p w14:paraId="677CECA5" w14:textId="425442A7"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13.3</w:t>
            </w:r>
          </w:p>
        </w:tc>
        <w:tc>
          <w:tcPr>
            <w:tcW w:w="147" w:type="pct"/>
          </w:tcPr>
          <w:p w14:paraId="3E8F5F5E" w14:textId="1FADEBC3"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13.3</w:t>
            </w:r>
          </w:p>
        </w:tc>
        <w:tc>
          <w:tcPr>
            <w:tcW w:w="147" w:type="pct"/>
          </w:tcPr>
          <w:p w14:paraId="1D4A626E" w14:textId="4DEC6E26"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13.3</w:t>
            </w:r>
          </w:p>
        </w:tc>
        <w:tc>
          <w:tcPr>
            <w:tcW w:w="147" w:type="pct"/>
          </w:tcPr>
          <w:p w14:paraId="49AEE22A" w14:textId="7FA16582"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13.3</w:t>
            </w:r>
          </w:p>
        </w:tc>
        <w:tc>
          <w:tcPr>
            <w:tcW w:w="147" w:type="pct"/>
          </w:tcPr>
          <w:p w14:paraId="552734AE" w14:textId="7D1147B0"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13.3</w:t>
            </w:r>
          </w:p>
        </w:tc>
        <w:tc>
          <w:tcPr>
            <w:tcW w:w="147" w:type="pct"/>
          </w:tcPr>
          <w:p w14:paraId="5C1CE5BB" w14:textId="3EBB48E5"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13.0</w:t>
            </w:r>
          </w:p>
        </w:tc>
        <w:tc>
          <w:tcPr>
            <w:tcW w:w="147" w:type="pct"/>
          </w:tcPr>
          <w:p w14:paraId="5BA60DB3" w14:textId="357BF179"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13.0</w:t>
            </w:r>
          </w:p>
        </w:tc>
        <w:tc>
          <w:tcPr>
            <w:tcW w:w="147" w:type="pct"/>
          </w:tcPr>
          <w:p w14:paraId="0C6872E8" w14:textId="59D54F58"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13.0</w:t>
            </w:r>
          </w:p>
        </w:tc>
        <w:tc>
          <w:tcPr>
            <w:tcW w:w="147" w:type="pct"/>
          </w:tcPr>
          <w:p w14:paraId="1E0CF0D2" w14:textId="48D2FFB2"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13.0</w:t>
            </w:r>
          </w:p>
        </w:tc>
        <w:tc>
          <w:tcPr>
            <w:tcW w:w="147" w:type="pct"/>
          </w:tcPr>
          <w:p w14:paraId="717F6727" w14:textId="09F9DACD"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13.0</w:t>
            </w:r>
          </w:p>
        </w:tc>
        <w:tc>
          <w:tcPr>
            <w:tcW w:w="147" w:type="pct"/>
          </w:tcPr>
          <w:p w14:paraId="3FA52C38" w14:textId="5B08DB31"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12.9</w:t>
            </w:r>
          </w:p>
        </w:tc>
        <w:tc>
          <w:tcPr>
            <w:tcW w:w="147" w:type="pct"/>
          </w:tcPr>
          <w:p w14:paraId="3E9E2D4C" w14:textId="5C104678"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12.9</w:t>
            </w:r>
          </w:p>
        </w:tc>
        <w:tc>
          <w:tcPr>
            <w:tcW w:w="147" w:type="pct"/>
          </w:tcPr>
          <w:p w14:paraId="553C84FD" w14:textId="11D0AF11"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12.9</w:t>
            </w:r>
          </w:p>
        </w:tc>
        <w:tc>
          <w:tcPr>
            <w:tcW w:w="147" w:type="pct"/>
          </w:tcPr>
          <w:p w14:paraId="0DC6C996" w14:textId="50DFB04E"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12.9</w:t>
            </w:r>
          </w:p>
        </w:tc>
        <w:tc>
          <w:tcPr>
            <w:tcW w:w="147" w:type="pct"/>
          </w:tcPr>
          <w:p w14:paraId="1E3033A5" w14:textId="0F6EFAF7"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12.9</w:t>
            </w:r>
          </w:p>
        </w:tc>
        <w:tc>
          <w:tcPr>
            <w:tcW w:w="147" w:type="pct"/>
          </w:tcPr>
          <w:p w14:paraId="3A3A049A" w14:textId="732763B6"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12.9</w:t>
            </w:r>
          </w:p>
        </w:tc>
        <w:tc>
          <w:tcPr>
            <w:tcW w:w="147" w:type="pct"/>
          </w:tcPr>
          <w:p w14:paraId="5ECF629B" w14:textId="4D9E0A7C"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12.9</w:t>
            </w:r>
          </w:p>
        </w:tc>
        <w:tc>
          <w:tcPr>
            <w:tcW w:w="147" w:type="pct"/>
          </w:tcPr>
          <w:p w14:paraId="5506CC45" w14:textId="35097EC4"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12.9</w:t>
            </w:r>
          </w:p>
        </w:tc>
        <w:tc>
          <w:tcPr>
            <w:tcW w:w="147" w:type="pct"/>
          </w:tcPr>
          <w:p w14:paraId="00D7457E" w14:textId="658EC397"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12.9</w:t>
            </w:r>
          </w:p>
        </w:tc>
        <w:tc>
          <w:tcPr>
            <w:tcW w:w="147" w:type="pct"/>
          </w:tcPr>
          <w:p w14:paraId="5D919EC1" w14:textId="5D8230D3"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12.9</w:t>
            </w:r>
          </w:p>
        </w:tc>
        <w:tc>
          <w:tcPr>
            <w:tcW w:w="148" w:type="pct"/>
          </w:tcPr>
          <w:p w14:paraId="368443DB" w14:textId="6C8E1DA4" w:rsidR="00C6101B" w:rsidRPr="001F4B4F" w:rsidRDefault="00C6101B" w:rsidP="00C6101B">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Pr>
                <w:color w:val="4A4D56"/>
              </w:rPr>
              <w:t>12.6</w:t>
            </w:r>
          </w:p>
        </w:tc>
      </w:tr>
      <w:tr w:rsidR="00562626" w14:paraId="31F0CDDC" w14:textId="77777777" w:rsidTr="007948EE">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4842FAD0" w14:textId="4B016CEA" w:rsidR="007948EE" w:rsidRPr="007948EE" w:rsidRDefault="007948EE" w:rsidP="007948EE">
            <w:pPr>
              <w:pStyle w:val="TableLeftText"/>
              <w:rPr>
                <w:sz w:val="18"/>
                <w:szCs w:val="18"/>
              </w:rPr>
            </w:pPr>
            <w:r w:rsidRPr="007948EE">
              <w:rPr>
                <w:sz w:val="18"/>
                <w:szCs w:val="18"/>
              </w:rPr>
              <w:t>Renewable diesel from soybeans</w:t>
            </w:r>
          </w:p>
        </w:tc>
        <w:tc>
          <w:tcPr>
            <w:tcW w:w="147" w:type="pct"/>
            <w:shd w:val="clear" w:color="auto" w:fill="FFFFFF" w:themeFill="background1"/>
          </w:tcPr>
          <w:p w14:paraId="36B00B39" w14:textId="3CD26550"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32.7</w:t>
            </w:r>
          </w:p>
        </w:tc>
        <w:tc>
          <w:tcPr>
            <w:tcW w:w="147" w:type="pct"/>
            <w:shd w:val="clear" w:color="auto" w:fill="FFFFFF" w:themeFill="background1"/>
          </w:tcPr>
          <w:p w14:paraId="1AAB528A" w14:textId="6E857E9C"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32.7</w:t>
            </w:r>
          </w:p>
        </w:tc>
        <w:tc>
          <w:tcPr>
            <w:tcW w:w="147" w:type="pct"/>
            <w:shd w:val="clear" w:color="auto" w:fill="FFFFFF" w:themeFill="background1"/>
          </w:tcPr>
          <w:p w14:paraId="398A40E4" w14:textId="12570AA1"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32.2</w:t>
            </w:r>
          </w:p>
        </w:tc>
        <w:tc>
          <w:tcPr>
            <w:tcW w:w="147" w:type="pct"/>
            <w:shd w:val="clear" w:color="auto" w:fill="FFFFFF" w:themeFill="background1"/>
          </w:tcPr>
          <w:p w14:paraId="07E82C9E" w14:textId="303F81F4"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32.2</w:t>
            </w:r>
          </w:p>
        </w:tc>
        <w:tc>
          <w:tcPr>
            <w:tcW w:w="147" w:type="pct"/>
            <w:shd w:val="clear" w:color="auto" w:fill="FFFFFF" w:themeFill="background1"/>
          </w:tcPr>
          <w:p w14:paraId="71046F4E" w14:textId="0F6941B7"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32.2</w:t>
            </w:r>
          </w:p>
        </w:tc>
        <w:tc>
          <w:tcPr>
            <w:tcW w:w="147" w:type="pct"/>
            <w:shd w:val="clear" w:color="auto" w:fill="FFFFFF" w:themeFill="background1"/>
          </w:tcPr>
          <w:p w14:paraId="522EEF3B" w14:textId="540AB550"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32.2</w:t>
            </w:r>
          </w:p>
        </w:tc>
        <w:tc>
          <w:tcPr>
            <w:tcW w:w="147" w:type="pct"/>
            <w:shd w:val="clear" w:color="auto" w:fill="FFFFFF" w:themeFill="background1"/>
          </w:tcPr>
          <w:p w14:paraId="6D9C99D9" w14:textId="39DAA1D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32.2</w:t>
            </w:r>
          </w:p>
        </w:tc>
        <w:tc>
          <w:tcPr>
            <w:tcW w:w="147" w:type="pct"/>
            <w:shd w:val="clear" w:color="auto" w:fill="FFFFFF" w:themeFill="background1"/>
          </w:tcPr>
          <w:p w14:paraId="2BC71DDB" w14:textId="13809964"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31.0</w:t>
            </w:r>
          </w:p>
        </w:tc>
        <w:tc>
          <w:tcPr>
            <w:tcW w:w="147" w:type="pct"/>
            <w:shd w:val="clear" w:color="auto" w:fill="FFFFFF" w:themeFill="background1"/>
          </w:tcPr>
          <w:p w14:paraId="10D13680" w14:textId="47895FB4"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31.0</w:t>
            </w:r>
          </w:p>
        </w:tc>
        <w:tc>
          <w:tcPr>
            <w:tcW w:w="147" w:type="pct"/>
            <w:shd w:val="clear" w:color="auto" w:fill="FFFFFF" w:themeFill="background1"/>
          </w:tcPr>
          <w:p w14:paraId="45247B1B" w14:textId="7C295614"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31.0</w:t>
            </w:r>
          </w:p>
        </w:tc>
        <w:tc>
          <w:tcPr>
            <w:tcW w:w="147" w:type="pct"/>
            <w:shd w:val="clear" w:color="auto" w:fill="FFFFFF" w:themeFill="background1"/>
          </w:tcPr>
          <w:p w14:paraId="239393E7" w14:textId="58D8275D"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31.0</w:t>
            </w:r>
          </w:p>
        </w:tc>
        <w:tc>
          <w:tcPr>
            <w:tcW w:w="147" w:type="pct"/>
            <w:shd w:val="clear" w:color="auto" w:fill="FFFFFF" w:themeFill="background1"/>
          </w:tcPr>
          <w:p w14:paraId="6F9DB744" w14:textId="776AFC6A"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31.0</w:t>
            </w:r>
          </w:p>
        </w:tc>
        <w:tc>
          <w:tcPr>
            <w:tcW w:w="147" w:type="pct"/>
            <w:shd w:val="clear" w:color="auto" w:fill="FFFFFF" w:themeFill="background1"/>
          </w:tcPr>
          <w:p w14:paraId="108CAE4E" w14:textId="5E626258"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30.8</w:t>
            </w:r>
          </w:p>
        </w:tc>
        <w:tc>
          <w:tcPr>
            <w:tcW w:w="147" w:type="pct"/>
            <w:shd w:val="clear" w:color="auto" w:fill="FFFFFF" w:themeFill="background1"/>
          </w:tcPr>
          <w:p w14:paraId="0007B0E5" w14:textId="7F63C346"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30.8</w:t>
            </w:r>
          </w:p>
        </w:tc>
        <w:tc>
          <w:tcPr>
            <w:tcW w:w="147" w:type="pct"/>
            <w:shd w:val="clear" w:color="auto" w:fill="FFFFFF" w:themeFill="background1"/>
          </w:tcPr>
          <w:p w14:paraId="4219EA67" w14:textId="3147578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30.8</w:t>
            </w:r>
          </w:p>
        </w:tc>
        <w:tc>
          <w:tcPr>
            <w:tcW w:w="147" w:type="pct"/>
            <w:shd w:val="clear" w:color="auto" w:fill="FFFFFF" w:themeFill="background1"/>
          </w:tcPr>
          <w:p w14:paraId="77424782" w14:textId="18F6B7A2"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30.8</w:t>
            </w:r>
          </w:p>
        </w:tc>
        <w:tc>
          <w:tcPr>
            <w:tcW w:w="147" w:type="pct"/>
            <w:shd w:val="clear" w:color="auto" w:fill="FFFFFF" w:themeFill="background1"/>
          </w:tcPr>
          <w:p w14:paraId="44BE48C0" w14:textId="4BEF7B8C"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30.8</w:t>
            </w:r>
          </w:p>
        </w:tc>
        <w:tc>
          <w:tcPr>
            <w:tcW w:w="147" w:type="pct"/>
            <w:shd w:val="clear" w:color="auto" w:fill="FFFFFF" w:themeFill="background1"/>
          </w:tcPr>
          <w:p w14:paraId="52F9D7C6" w14:textId="3D637E74"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30.8</w:t>
            </w:r>
          </w:p>
        </w:tc>
        <w:tc>
          <w:tcPr>
            <w:tcW w:w="147" w:type="pct"/>
            <w:shd w:val="clear" w:color="auto" w:fill="FFFFFF" w:themeFill="background1"/>
          </w:tcPr>
          <w:p w14:paraId="55D7A198" w14:textId="2CF704C1"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30.8</w:t>
            </w:r>
          </w:p>
        </w:tc>
        <w:tc>
          <w:tcPr>
            <w:tcW w:w="147" w:type="pct"/>
            <w:shd w:val="clear" w:color="auto" w:fill="FFFFFF" w:themeFill="background1"/>
          </w:tcPr>
          <w:p w14:paraId="4C5F15D1" w14:textId="1B7E2713"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30.8</w:t>
            </w:r>
          </w:p>
        </w:tc>
        <w:tc>
          <w:tcPr>
            <w:tcW w:w="147" w:type="pct"/>
            <w:shd w:val="clear" w:color="auto" w:fill="FFFFFF" w:themeFill="background1"/>
          </w:tcPr>
          <w:p w14:paraId="76D4C558" w14:textId="51ADB7E7"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30.8</w:t>
            </w:r>
          </w:p>
        </w:tc>
        <w:tc>
          <w:tcPr>
            <w:tcW w:w="147" w:type="pct"/>
            <w:shd w:val="clear" w:color="auto" w:fill="FFFFFF" w:themeFill="background1"/>
          </w:tcPr>
          <w:p w14:paraId="5BA3B9AD" w14:textId="1074F502"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30.8</w:t>
            </w:r>
          </w:p>
        </w:tc>
        <w:tc>
          <w:tcPr>
            <w:tcW w:w="147" w:type="pct"/>
            <w:shd w:val="clear" w:color="auto" w:fill="FFFFFF" w:themeFill="background1"/>
          </w:tcPr>
          <w:p w14:paraId="331713AA" w14:textId="71E80A44"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30.7</w:t>
            </w:r>
          </w:p>
        </w:tc>
        <w:tc>
          <w:tcPr>
            <w:tcW w:w="147" w:type="pct"/>
            <w:shd w:val="clear" w:color="auto" w:fill="FFFFFF" w:themeFill="background1"/>
          </w:tcPr>
          <w:p w14:paraId="175A373A" w14:textId="6DDEC9E9"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30.7</w:t>
            </w:r>
          </w:p>
        </w:tc>
        <w:tc>
          <w:tcPr>
            <w:tcW w:w="147" w:type="pct"/>
            <w:shd w:val="clear" w:color="auto" w:fill="FFFFFF" w:themeFill="background1"/>
          </w:tcPr>
          <w:p w14:paraId="7B057712" w14:textId="16F4EF8D"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30.7</w:t>
            </w:r>
          </w:p>
        </w:tc>
        <w:tc>
          <w:tcPr>
            <w:tcW w:w="147" w:type="pct"/>
            <w:shd w:val="clear" w:color="auto" w:fill="FFFFFF" w:themeFill="background1"/>
          </w:tcPr>
          <w:p w14:paraId="1BB5E6ED" w14:textId="4D96AA18"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30.7</w:t>
            </w:r>
          </w:p>
        </w:tc>
        <w:tc>
          <w:tcPr>
            <w:tcW w:w="147" w:type="pct"/>
            <w:shd w:val="clear" w:color="auto" w:fill="FFFFFF" w:themeFill="background1"/>
          </w:tcPr>
          <w:p w14:paraId="2C68CF77" w14:textId="28084B90"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30.7</w:t>
            </w:r>
          </w:p>
        </w:tc>
        <w:tc>
          <w:tcPr>
            <w:tcW w:w="148" w:type="pct"/>
            <w:shd w:val="clear" w:color="auto" w:fill="FFFFFF" w:themeFill="background1"/>
          </w:tcPr>
          <w:p w14:paraId="4BEBD901" w14:textId="4A8146BC"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30.6</w:t>
            </w:r>
            <w:r w:rsidR="00336D07" w:rsidRPr="00336D07">
              <w:rPr>
                <w:rFonts w:cs="Arial"/>
                <w:color w:val="4A4D56"/>
                <w:vertAlign w:val="superscript"/>
              </w:rPr>
              <w:t>†</w:t>
            </w:r>
          </w:p>
        </w:tc>
      </w:tr>
      <w:tr w:rsidR="00562626" w14:paraId="1F97C575" w14:textId="77777777" w:rsidTr="007948EE">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02C8F384" w14:textId="1F0E1A3E" w:rsidR="007948EE" w:rsidRPr="007948EE" w:rsidRDefault="007948EE" w:rsidP="007948EE">
            <w:pPr>
              <w:pStyle w:val="TableLeftText"/>
              <w:rPr>
                <w:sz w:val="18"/>
                <w:szCs w:val="18"/>
              </w:rPr>
            </w:pPr>
            <w:r w:rsidRPr="007948EE">
              <w:rPr>
                <w:sz w:val="18"/>
                <w:szCs w:val="18"/>
              </w:rPr>
              <w:t>Renewable diesel from canola</w:t>
            </w:r>
          </w:p>
        </w:tc>
        <w:tc>
          <w:tcPr>
            <w:tcW w:w="147" w:type="pct"/>
            <w:shd w:val="clear" w:color="auto" w:fill="FFFFFF" w:themeFill="background1"/>
          </w:tcPr>
          <w:p w14:paraId="1E31E078" w14:textId="13356096"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32.3</w:t>
            </w:r>
          </w:p>
        </w:tc>
        <w:tc>
          <w:tcPr>
            <w:tcW w:w="147" w:type="pct"/>
            <w:shd w:val="clear" w:color="auto" w:fill="FFFFFF" w:themeFill="background1"/>
          </w:tcPr>
          <w:p w14:paraId="7A7D174F" w14:textId="01C728A6"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32.3</w:t>
            </w:r>
          </w:p>
        </w:tc>
        <w:tc>
          <w:tcPr>
            <w:tcW w:w="147" w:type="pct"/>
            <w:shd w:val="clear" w:color="auto" w:fill="FFFFFF" w:themeFill="background1"/>
          </w:tcPr>
          <w:p w14:paraId="2BF428FD" w14:textId="506F06BA"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31.9</w:t>
            </w:r>
          </w:p>
        </w:tc>
        <w:tc>
          <w:tcPr>
            <w:tcW w:w="147" w:type="pct"/>
            <w:shd w:val="clear" w:color="auto" w:fill="FFFFFF" w:themeFill="background1"/>
          </w:tcPr>
          <w:p w14:paraId="50D52BFB" w14:textId="4E61DDAC"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31.9</w:t>
            </w:r>
          </w:p>
        </w:tc>
        <w:tc>
          <w:tcPr>
            <w:tcW w:w="147" w:type="pct"/>
            <w:shd w:val="clear" w:color="auto" w:fill="FFFFFF" w:themeFill="background1"/>
          </w:tcPr>
          <w:p w14:paraId="1D050D42" w14:textId="1B81E0A2"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31.9</w:t>
            </w:r>
          </w:p>
        </w:tc>
        <w:tc>
          <w:tcPr>
            <w:tcW w:w="147" w:type="pct"/>
            <w:shd w:val="clear" w:color="auto" w:fill="FFFFFF" w:themeFill="background1"/>
          </w:tcPr>
          <w:p w14:paraId="65DA64FB" w14:textId="609375D3"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31.9</w:t>
            </w:r>
          </w:p>
        </w:tc>
        <w:tc>
          <w:tcPr>
            <w:tcW w:w="147" w:type="pct"/>
            <w:shd w:val="clear" w:color="auto" w:fill="FFFFFF" w:themeFill="background1"/>
          </w:tcPr>
          <w:p w14:paraId="0660E062" w14:textId="141C0ABA"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31.9</w:t>
            </w:r>
          </w:p>
        </w:tc>
        <w:tc>
          <w:tcPr>
            <w:tcW w:w="147" w:type="pct"/>
            <w:shd w:val="clear" w:color="auto" w:fill="FFFFFF" w:themeFill="background1"/>
          </w:tcPr>
          <w:p w14:paraId="4D8CB1FE" w14:textId="12D44AB4"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30.9</w:t>
            </w:r>
          </w:p>
        </w:tc>
        <w:tc>
          <w:tcPr>
            <w:tcW w:w="147" w:type="pct"/>
            <w:shd w:val="clear" w:color="auto" w:fill="FFFFFF" w:themeFill="background1"/>
          </w:tcPr>
          <w:p w14:paraId="2995456D" w14:textId="754299A7"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30.9</w:t>
            </w:r>
          </w:p>
        </w:tc>
        <w:tc>
          <w:tcPr>
            <w:tcW w:w="147" w:type="pct"/>
            <w:shd w:val="clear" w:color="auto" w:fill="FFFFFF" w:themeFill="background1"/>
          </w:tcPr>
          <w:p w14:paraId="5E952C81" w14:textId="170D99B3"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30.9</w:t>
            </w:r>
          </w:p>
        </w:tc>
        <w:tc>
          <w:tcPr>
            <w:tcW w:w="147" w:type="pct"/>
            <w:shd w:val="clear" w:color="auto" w:fill="FFFFFF" w:themeFill="background1"/>
          </w:tcPr>
          <w:p w14:paraId="1BD93CC3" w14:textId="7FCE2F95"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30.9</w:t>
            </w:r>
          </w:p>
        </w:tc>
        <w:tc>
          <w:tcPr>
            <w:tcW w:w="147" w:type="pct"/>
            <w:shd w:val="clear" w:color="auto" w:fill="FFFFFF" w:themeFill="background1"/>
          </w:tcPr>
          <w:p w14:paraId="77FCCDE4" w14:textId="240452E1"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30.9</w:t>
            </w:r>
          </w:p>
        </w:tc>
        <w:tc>
          <w:tcPr>
            <w:tcW w:w="147" w:type="pct"/>
            <w:shd w:val="clear" w:color="auto" w:fill="FFFFFF" w:themeFill="background1"/>
          </w:tcPr>
          <w:p w14:paraId="3873A7DA" w14:textId="54EC3D01"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30.7</w:t>
            </w:r>
          </w:p>
        </w:tc>
        <w:tc>
          <w:tcPr>
            <w:tcW w:w="147" w:type="pct"/>
            <w:shd w:val="clear" w:color="auto" w:fill="FFFFFF" w:themeFill="background1"/>
          </w:tcPr>
          <w:p w14:paraId="47FB3222" w14:textId="05ED4335"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30.7</w:t>
            </w:r>
          </w:p>
        </w:tc>
        <w:tc>
          <w:tcPr>
            <w:tcW w:w="147" w:type="pct"/>
            <w:shd w:val="clear" w:color="auto" w:fill="FFFFFF" w:themeFill="background1"/>
          </w:tcPr>
          <w:p w14:paraId="0ABF1753" w14:textId="7A37F4AF"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30.7</w:t>
            </w:r>
          </w:p>
        </w:tc>
        <w:tc>
          <w:tcPr>
            <w:tcW w:w="147" w:type="pct"/>
            <w:shd w:val="clear" w:color="auto" w:fill="FFFFFF" w:themeFill="background1"/>
          </w:tcPr>
          <w:p w14:paraId="5FEE7DE1" w14:textId="4FB2D2C3"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30.7</w:t>
            </w:r>
          </w:p>
        </w:tc>
        <w:tc>
          <w:tcPr>
            <w:tcW w:w="147" w:type="pct"/>
            <w:shd w:val="clear" w:color="auto" w:fill="FFFFFF" w:themeFill="background1"/>
          </w:tcPr>
          <w:p w14:paraId="5B5FF974" w14:textId="1A4C5FFA"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30.7</w:t>
            </w:r>
          </w:p>
        </w:tc>
        <w:tc>
          <w:tcPr>
            <w:tcW w:w="147" w:type="pct"/>
            <w:shd w:val="clear" w:color="auto" w:fill="FFFFFF" w:themeFill="background1"/>
          </w:tcPr>
          <w:p w14:paraId="0BF1B361" w14:textId="7F0ACB30"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30.6</w:t>
            </w:r>
          </w:p>
        </w:tc>
        <w:tc>
          <w:tcPr>
            <w:tcW w:w="147" w:type="pct"/>
            <w:shd w:val="clear" w:color="auto" w:fill="FFFFFF" w:themeFill="background1"/>
          </w:tcPr>
          <w:p w14:paraId="527B5AB7" w14:textId="5C21FAAE"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30.6</w:t>
            </w:r>
          </w:p>
        </w:tc>
        <w:tc>
          <w:tcPr>
            <w:tcW w:w="147" w:type="pct"/>
            <w:shd w:val="clear" w:color="auto" w:fill="FFFFFF" w:themeFill="background1"/>
          </w:tcPr>
          <w:p w14:paraId="61540D73" w14:textId="1E9AC3FF"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30.6</w:t>
            </w:r>
          </w:p>
        </w:tc>
        <w:tc>
          <w:tcPr>
            <w:tcW w:w="147" w:type="pct"/>
            <w:shd w:val="clear" w:color="auto" w:fill="FFFFFF" w:themeFill="background1"/>
          </w:tcPr>
          <w:p w14:paraId="7094CEFD" w14:textId="325DDEDC"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30.6</w:t>
            </w:r>
          </w:p>
        </w:tc>
        <w:tc>
          <w:tcPr>
            <w:tcW w:w="147" w:type="pct"/>
            <w:shd w:val="clear" w:color="auto" w:fill="FFFFFF" w:themeFill="background1"/>
          </w:tcPr>
          <w:p w14:paraId="17D5B46D" w14:textId="563B73DD"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30.6</w:t>
            </w:r>
          </w:p>
        </w:tc>
        <w:tc>
          <w:tcPr>
            <w:tcW w:w="147" w:type="pct"/>
            <w:shd w:val="clear" w:color="auto" w:fill="FFFFFF" w:themeFill="background1"/>
          </w:tcPr>
          <w:p w14:paraId="7C777E74" w14:textId="41D8CC3D"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30.6</w:t>
            </w:r>
          </w:p>
        </w:tc>
        <w:tc>
          <w:tcPr>
            <w:tcW w:w="147" w:type="pct"/>
            <w:shd w:val="clear" w:color="auto" w:fill="FFFFFF" w:themeFill="background1"/>
          </w:tcPr>
          <w:p w14:paraId="0F3B2593" w14:textId="352009AA"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30.6</w:t>
            </w:r>
          </w:p>
        </w:tc>
        <w:tc>
          <w:tcPr>
            <w:tcW w:w="147" w:type="pct"/>
            <w:shd w:val="clear" w:color="auto" w:fill="FFFFFF" w:themeFill="background1"/>
          </w:tcPr>
          <w:p w14:paraId="6B1D2E93" w14:textId="291F9FDE"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30.6</w:t>
            </w:r>
          </w:p>
        </w:tc>
        <w:tc>
          <w:tcPr>
            <w:tcW w:w="147" w:type="pct"/>
            <w:shd w:val="clear" w:color="auto" w:fill="FFFFFF" w:themeFill="background1"/>
          </w:tcPr>
          <w:p w14:paraId="5990A3C1" w14:textId="3D44CAB6"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30.6</w:t>
            </w:r>
          </w:p>
        </w:tc>
        <w:tc>
          <w:tcPr>
            <w:tcW w:w="147" w:type="pct"/>
            <w:shd w:val="clear" w:color="auto" w:fill="FFFFFF" w:themeFill="background1"/>
          </w:tcPr>
          <w:p w14:paraId="1CE701C0" w14:textId="13217166"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30.6</w:t>
            </w:r>
          </w:p>
        </w:tc>
        <w:tc>
          <w:tcPr>
            <w:tcW w:w="148" w:type="pct"/>
            <w:shd w:val="clear" w:color="auto" w:fill="FFFFFF" w:themeFill="background1"/>
          </w:tcPr>
          <w:p w14:paraId="653AE609" w14:textId="5C8389CA"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30.4</w:t>
            </w:r>
            <w:r w:rsidR="00336D07" w:rsidRPr="00336D07">
              <w:rPr>
                <w:rFonts w:cs="Arial"/>
                <w:color w:val="4A4D56"/>
                <w:vertAlign w:val="superscript"/>
              </w:rPr>
              <w:t>†</w:t>
            </w:r>
          </w:p>
        </w:tc>
      </w:tr>
      <w:tr w:rsidR="00562626" w14:paraId="2238DA2D" w14:textId="77777777" w:rsidTr="007948EE">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44EA5475" w14:textId="6B38712C" w:rsidR="007948EE" w:rsidRPr="007948EE" w:rsidRDefault="007948EE" w:rsidP="007948EE">
            <w:pPr>
              <w:pStyle w:val="TableLeftText"/>
              <w:rPr>
                <w:sz w:val="18"/>
                <w:szCs w:val="18"/>
              </w:rPr>
            </w:pPr>
            <w:r w:rsidRPr="007948EE">
              <w:rPr>
                <w:sz w:val="18"/>
                <w:szCs w:val="18"/>
              </w:rPr>
              <w:t>Renewable diesel from corn</w:t>
            </w:r>
          </w:p>
        </w:tc>
        <w:tc>
          <w:tcPr>
            <w:tcW w:w="147" w:type="pct"/>
            <w:shd w:val="clear" w:color="auto" w:fill="FFFFFF" w:themeFill="background1"/>
          </w:tcPr>
          <w:p w14:paraId="407306D9" w14:textId="24170D67"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12.3</w:t>
            </w:r>
          </w:p>
        </w:tc>
        <w:tc>
          <w:tcPr>
            <w:tcW w:w="147" w:type="pct"/>
            <w:shd w:val="clear" w:color="auto" w:fill="FFFFFF" w:themeFill="background1"/>
          </w:tcPr>
          <w:p w14:paraId="17DA80AF" w14:textId="2369F093"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12.3</w:t>
            </w:r>
          </w:p>
        </w:tc>
        <w:tc>
          <w:tcPr>
            <w:tcW w:w="147" w:type="pct"/>
            <w:shd w:val="clear" w:color="auto" w:fill="FFFFFF" w:themeFill="background1"/>
          </w:tcPr>
          <w:p w14:paraId="348788D9" w14:textId="323F0E2C"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11.8</w:t>
            </w:r>
          </w:p>
        </w:tc>
        <w:tc>
          <w:tcPr>
            <w:tcW w:w="147" w:type="pct"/>
            <w:shd w:val="clear" w:color="auto" w:fill="FFFFFF" w:themeFill="background1"/>
          </w:tcPr>
          <w:p w14:paraId="4E99CD6A" w14:textId="380F6E80"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11.8</w:t>
            </w:r>
          </w:p>
        </w:tc>
        <w:tc>
          <w:tcPr>
            <w:tcW w:w="147" w:type="pct"/>
            <w:shd w:val="clear" w:color="auto" w:fill="FFFFFF" w:themeFill="background1"/>
          </w:tcPr>
          <w:p w14:paraId="7D6A3A83" w14:textId="430EE709"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11.8</w:t>
            </w:r>
          </w:p>
        </w:tc>
        <w:tc>
          <w:tcPr>
            <w:tcW w:w="147" w:type="pct"/>
            <w:shd w:val="clear" w:color="auto" w:fill="FFFFFF" w:themeFill="background1"/>
          </w:tcPr>
          <w:p w14:paraId="6F53C014" w14:textId="2DC22980"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11.8</w:t>
            </w:r>
          </w:p>
        </w:tc>
        <w:tc>
          <w:tcPr>
            <w:tcW w:w="147" w:type="pct"/>
            <w:shd w:val="clear" w:color="auto" w:fill="FFFFFF" w:themeFill="background1"/>
          </w:tcPr>
          <w:p w14:paraId="7AFCAF48" w14:textId="0CBED631"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11.8</w:t>
            </w:r>
          </w:p>
        </w:tc>
        <w:tc>
          <w:tcPr>
            <w:tcW w:w="147" w:type="pct"/>
            <w:shd w:val="clear" w:color="auto" w:fill="FFFFFF" w:themeFill="background1"/>
          </w:tcPr>
          <w:p w14:paraId="4ADD4C46" w14:textId="102BBC3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10.8</w:t>
            </w:r>
          </w:p>
        </w:tc>
        <w:tc>
          <w:tcPr>
            <w:tcW w:w="147" w:type="pct"/>
            <w:shd w:val="clear" w:color="auto" w:fill="FFFFFF" w:themeFill="background1"/>
          </w:tcPr>
          <w:p w14:paraId="26C401A8" w14:textId="78E150F7"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10.8</w:t>
            </w:r>
          </w:p>
        </w:tc>
        <w:tc>
          <w:tcPr>
            <w:tcW w:w="147" w:type="pct"/>
            <w:shd w:val="clear" w:color="auto" w:fill="FFFFFF" w:themeFill="background1"/>
          </w:tcPr>
          <w:p w14:paraId="488056E8" w14:textId="76EC07A4"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10.8</w:t>
            </w:r>
          </w:p>
        </w:tc>
        <w:tc>
          <w:tcPr>
            <w:tcW w:w="147" w:type="pct"/>
            <w:shd w:val="clear" w:color="auto" w:fill="FFFFFF" w:themeFill="background1"/>
          </w:tcPr>
          <w:p w14:paraId="7E92EA0E" w14:textId="57EE1EC8"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10.8</w:t>
            </w:r>
          </w:p>
        </w:tc>
        <w:tc>
          <w:tcPr>
            <w:tcW w:w="147" w:type="pct"/>
            <w:shd w:val="clear" w:color="auto" w:fill="FFFFFF" w:themeFill="background1"/>
          </w:tcPr>
          <w:p w14:paraId="652A0AE1" w14:textId="651FB067"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10.8</w:t>
            </w:r>
          </w:p>
        </w:tc>
        <w:tc>
          <w:tcPr>
            <w:tcW w:w="147" w:type="pct"/>
            <w:shd w:val="clear" w:color="auto" w:fill="FFFFFF" w:themeFill="background1"/>
          </w:tcPr>
          <w:p w14:paraId="18F033E1" w14:textId="0BBF3FC7"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10.7</w:t>
            </w:r>
          </w:p>
        </w:tc>
        <w:tc>
          <w:tcPr>
            <w:tcW w:w="147" w:type="pct"/>
            <w:shd w:val="clear" w:color="auto" w:fill="FFFFFF" w:themeFill="background1"/>
          </w:tcPr>
          <w:p w14:paraId="520305EB" w14:textId="42FE7F66"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10.7</w:t>
            </w:r>
          </w:p>
        </w:tc>
        <w:tc>
          <w:tcPr>
            <w:tcW w:w="147" w:type="pct"/>
            <w:shd w:val="clear" w:color="auto" w:fill="FFFFFF" w:themeFill="background1"/>
          </w:tcPr>
          <w:p w14:paraId="5906F7A3" w14:textId="386A382F"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10.7</w:t>
            </w:r>
          </w:p>
        </w:tc>
        <w:tc>
          <w:tcPr>
            <w:tcW w:w="147" w:type="pct"/>
            <w:shd w:val="clear" w:color="auto" w:fill="FFFFFF" w:themeFill="background1"/>
          </w:tcPr>
          <w:p w14:paraId="7B571E4C" w14:textId="5DFA2B87"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10.7</w:t>
            </w:r>
          </w:p>
        </w:tc>
        <w:tc>
          <w:tcPr>
            <w:tcW w:w="147" w:type="pct"/>
            <w:shd w:val="clear" w:color="auto" w:fill="FFFFFF" w:themeFill="background1"/>
          </w:tcPr>
          <w:p w14:paraId="58325400" w14:textId="6164CCA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10.7</w:t>
            </w:r>
          </w:p>
        </w:tc>
        <w:tc>
          <w:tcPr>
            <w:tcW w:w="147" w:type="pct"/>
            <w:shd w:val="clear" w:color="auto" w:fill="FFFFFF" w:themeFill="background1"/>
          </w:tcPr>
          <w:p w14:paraId="1DCD70B9" w14:textId="730D2BF7"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10.6</w:t>
            </w:r>
          </w:p>
        </w:tc>
        <w:tc>
          <w:tcPr>
            <w:tcW w:w="147" w:type="pct"/>
            <w:shd w:val="clear" w:color="auto" w:fill="FFFFFF" w:themeFill="background1"/>
          </w:tcPr>
          <w:p w14:paraId="6D6A322F" w14:textId="5B5C8D21"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10.6</w:t>
            </w:r>
          </w:p>
        </w:tc>
        <w:tc>
          <w:tcPr>
            <w:tcW w:w="147" w:type="pct"/>
            <w:shd w:val="clear" w:color="auto" w:fill="FFFFFF" w:themeFill="background1"/>
          </w:tcPr>
          <w:p w14:paraId="1E143222" w14:textId="089F0222"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10.6</w:t>
            </w:r>
          </w:p>
        </w:tc>
        <w:tc>
          <w:tcPr>
            <w:tcW w:w="147" w:type="pct"/>
            <w:shd w:val="clear" w:color="auto" w:fill="FFFFFF" w:themeFill="background1"/>
          </w:tcPr>
          <w:p w14:paraId="07D3FBFA" w14:textId="57218F58"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10.6</w:t>
            </w:r>
          </w:p>
        </w:tc>
        <w:tc>
          <w:tcPr>
            <w:tcW w:w="147" w:type="pct"/>
            <w:shd w:val="clear" w:color="auto" w:fill="FFFFFF" w:themeFill="background1"/>
          </w:tcPr>
          <w:p w14:paraId="6A764D15" w14:textId="3D84F743"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10.6</w:t>
            </w:r>
          </w:p>
        </w:tc>
        <w:tc>
          <w:tcPr>
            <w:tcW w:w="147" w:type="pct"/>
            <w:shd w:val="clear" w:color="auto" w:fill="FFFFFF" w:themeFill="background1"/>
          </w:tcPr>
          <w:p w14:paraId="5777FF5C" w14:textId="310EAC71"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10.6</w:t>
            </w:r>
          </w:p>
        </w:tc>
        <w:tc>
          <w:tcPr>
            <w:tcW w:w="147" w:type="pct"/>
            <w:shd w:val="clear" w:color="auto" w:fill="FFFFFF" w:themeFill="background1"/>
          </w:tcPr>
          <w:p w14:paraId="318C595E" w14:textId="1AFA427F"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10.6</w:t>
            </w:r>
          </w:p>
        </w:tc>
        <w:tc>
          <w:tcPr>
            <w:tcW w:w="147" w:type="pct"/>
            <w:shd w:val="clear" w:color="auto" w:fill="FFFFFF" w:themeFill="background1"/>
          </w:tcPr>
          <w:p w14:paraId="704D4908" w14:textId="0DD5B4A4"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10.6</w:t>
            </w:r>
          </w:p>
        </w:tc>
        <w:tc>
          <w:tcPr>
            <w:tcW w:w="147" w:type="pct"/>
            <w:shd w:val="clear" w:color="auto" w:fill="FFFFFF" w:themeFill="background1"/>
          </w:tcPr>
          <w:p w14:paraId="5FF7A899" w14:textId="5A7FBB63"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10.6</w:t>
            </w:r>
          </w:p>
        </w:tc>
        <w:tc>
          <w:tcPr>
            <w:tcW w:w="147" w:type="pct"/>
            <w:shd w:val="clear" w:color="auto" w:fill="FFFFFF" w:themeFill="background1"/>
          </w:tcPr>
          <w:p w14:paraId="3B0BD69D" w14:textId="7144AD90"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10.6</w:t>
            </w:r>
          </w:p>
        </w:tc>
        <w:tc>
          <w:tcPr>
            <w:tcW w:w="148" w:type="pct"/>
            <w:shd w:val="clear" w:color="auto" w:fill="FFFFFF" w:themeFill="background1"/>
          </w:tcPr>
          <w:p w14:paraId="5035277E" w14:textId="72C35D07"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10.5</w:t>
            </w:r>
          </w:p>
        </w:tc>
      </w:tr>
      <w:tr w:rsidR="00562626" w14:paraId="78241F5B" w14:textId="77777777" w:rsidTr="007948EE">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726B998D" w14:textId="52F4E10B" w:rsidR="007948EE" w:rsidRPr="007948EE" w:rsidRDefault="007948EE" w:rsidP="007948EE">
            <w:pPr>
              <w:pStyle w:val="TableLeftText"/>
              <w:rPr>
                <w:sz w:val="18"/>
                <w:szCs w:val="18"/>
                <w:vertAlign w:val="superscript"/>
              </w:rPr>
            </w:pPr>
            <w:r w:rsidRPr="007948EE">
              <w:rPr>
                <w:sz w:val="18"/>
                <w:szCs w:val="18"/>
              </w:rPr>
              <w:t>Renewable diesel from used cooking oil</w:t>
            </w:r>
          </w:p>
        </w:tc>
        <w:tc>
          <w:tcPr>
            <w:tcW w:w="147" w:type="pct"/>
            <w:shd w:val="clear" w:color="auto" w:fill="FFFFFF" w:themeFill="background1"/>
          </w:tcPr>
          <w:p w14:paraId="706CB84C" w14:textId="4BD4CF27"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17.8</w:t>
            </w:r>
          </w:p>
        </w:tc>
        <w:tc>
          <w:tcPr>
            <w:tcW w:w="147" w:type="pct"/>
            <w:shd w:val="clear" w:color="auto" w:fill="FFFFFF" w:themeFill="background1"/>
          </w:tcPr>
          <w:p w14:paraId="15E72868" w14:textId="3E1BDD84"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17.8</w:t>
            </w:r>
          </w:p>
        </w:tc>
        <w:tc>
          <w:tcPr>
            <w:tcW w:w="147" w:type="pct"/>
            <w:shd w:val="clear" w:color="auto" w:fill="FFFFFF" w:themeFill="background1"/>
          </w:tcPr>
          <w:p w14:paraId="6005EDBA" w14:textId="4E0DDC55"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17.3</w:t>
            </w:r>
          </w:p>
        </w:tc>
        <w:tc>
          <w:tcPr>
            <w:tcW w:w="147" w:type="pct"/>
            <w:shd w:val="clear" w:color="auto" w:fill="FFFFFF" w:themeFill="background1"/>
          </w:tcPr>
          <w:p w14:paraId="5E7DF181" w14:textId="04CA7862"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17.3</w:t>
            </w:r>
          </w:p>
        </w:tc>
        <w:tc>
          <w:tcPr>
            <w:tcW w:w="147" w:type="pct"/>
            <w:shd w:val="clear" w:color="auto" w:fill="FFFFFF" w:themeFill="background1"/>
          </w:tcPr>
          <w:p w14:paraId="20A6C226" w14:textId="6678F05C"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17.3</w:t>
            </w:r>
          </w:p>
        </w:tc>
        <w:tc>
          <w:tcPr>
            <w:tcW w:w="147" w:type="pct"/>
            <w:shd w:val="clear" w:color="auto" w:fill="FFFFFF" w:themeFill="background1"/>
          </w:tcPr>
          <w:p w14:paraId="3872EEF1" w14:textId="48A9F26E"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17.3</w:t>
            </w:r>
          </w:p>
        </w:tc>
        <w:tc>
          <w:tcPr>
            <w:tcW w:w="147" w:type="pct"/>
            <w:shd w:val="clear" w:color="auto" w:fill="FFFFFF" w:themeFill="background1"/>
          </w:tcPr>
          <w:p w14:paraId="2C4563CD" w14:textId="3AC64D36"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17.3</w:t>
            </w:r>
          </w:p>
        </w:tc>
        <w:tc>
          <w:tcPr>
            <w:tcW w:w="147" w:type="pct"/>
            <w:shd w:val="clear" w:color="auto" w:fill="FFFFFF" w:themeFill="background1"/>
          </w:tcPr>
          <w:p w14:paraId="7D12778D" w14:textId="648CF5FE"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16.0</w:t>
            </w:r>
          </w:p>
        </w:tc>
        <w:tc>
          <w:tcPr>
            <w:tcW w:w="147" w:type="pct"/>
            <w:shd w:val="clear" w:color="auto" w:fill="FFFFFF" w:themeFill="background1"/>
          </w:tcPr>
          <w:p w14:paraId="48815262" w14:textId="0EC60843"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16.0</w:t>
            </w:r>
          </w:p>
        </w:tc>
        <w:tc>
          <w:tcPr>
            <w:tcW w:w="147" w:type="pct"/>
            <w:shd w:val="clear" w:color="auto" w:fill="FFFFFF" w:themeFill="background1"/>
          </w:tcPr>
          <w:p w14:paraId="244264AD" w14:textId="5E37B6E6"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16.0</w:t>
            </w:r>
          </w:p>
        </w:tc>
        <w:tc>
          <w:tcPr>
            <w:tcW w:w="147" w:type="pct"/>
            <w:shd w:val="clear" w:color="auto" w:fill="FFFFFF" w:themeFill="background1"/>
          </w:tcPr>
          <w:p w14:paraId="221D09FB" w14:textId="1A70771D"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16.0</w:t>
            </w:r>
          </w:p>
        </w:tc>
        <w:tc>
          <w:tcPr>
            <w:tcW w:w="147" w:type="pct"/>
            <w:shd w:val="clear" w:color="auto" w:fill="FFFFFF" w:themeFill="background1"/>
          </w:tcPr>
          <w:p w14:paraId="4F14A073" w14:textId="67965A0A"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16.0</w:t>
            </w:r>
          </w:p>
        </w:tc>
        <w:tc>
          <w:tcPr>
            <w:tcW w:w="147" w:type="pct"/>
            <w:shd w:val="clear" w:color="auto" w:fill="FFFFFF" w:themeFill="background1"/>
          </w:tcPr>
          <w:p w14:paraId="655C3371" w14:textId="0E092EEB"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15.7</w:t>
            </w:r>
          </w:p>
        </w:tc>
        <w:tc>
          <w:tcPr>
            <w:tcW w:w="147" w:type="pct"/>
            <w:shd w:val="clear" w:color="auto" w:fill="FFFFFF" w:themeFill="background1"/>
          </w:tcPr>
          <w:p w14:paraId="1D2E63D3" w14:textId="11599576"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15.7</w:t>
            </w:r>
          </w:p>
        </w:tc>
        <w:tc>
          <w:tcPr>
            <w:tcW w:w="147" w:type="pct"/>
            <w:shd w:val="clear" w:color="auto" w:fill="FFFFFF" w:themeFill="background1"/>
          </w:tcPr>
          <w:p w14:paraId="17B84D1A" w14:textId="34C78A2A"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15.7</w:t>
            </w:r>
          </w:p>
        </w:tc>
        <w:tc>
          <w:tcPr>
            <w:tcW w:w="147" w:type="pct"/>
            <w:shd w:val="clear" w:color="auto" w:fill="FFFFFF" w:themeFill="background1"/>
          </w:tcPr>
          <w:p w14:paraId="1472A1CF" w14:textId="660C2CDF"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15.7</w:t>
            </w:r>
          </w:p>
        </w:tc>
        <w:tc>
          <w:tcPr>
            <w:tcW w:w="147" w:type="pct"/>
            <w:shd w:val="clear" w:color="auto" w:fill="FFFFFF" w:themeFill="background1"/>
          </w:tcPr>
          <w:p w14:paraId="0CB640FE" w14:textId="7C224904"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15.7</w:t>
            </w:r>
          </w:p>
        </w:tc>
        <w:tc>
          <w:tcPr>
            <w:tcW w:w="147" w:type="pct"/>
            <w:shd w:val="clear" w:color="auto" w:fill="FFFFFF" w:themeFill="background1"/>
          </w:tcPr>
          <w:p w14:paraId="46E80BFE" w14:textId="4A580EC5"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15.6</w:t>
            </w:r>
          </w:p>
        </w:tc>
        <w:tc>
          <w:tcPr>
            <w:tcW w:w="147" w:type="pct"/>
            <w:shd w:val="clear" w:color="auto" w:fill="FFFFFF" w:themeFill="background1"/>
          </w:tcPr>
          <w:p w14:paraId="4F20E032" w14:textId="2F3B8032"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15.6</w:t>
            </w:r>
          </w:p>
        </w:tc>
        <w:tc>
          <w:tcPr>
            <w:tcW w:w="147" w:type="pct"/>
            <w:shd w:val="clear" w:color="auto" w:fill="FFFFFF" w:themeFill="background1"/>
          </w:tcPr>
          <w:p w14:paraId="3B45BE99" w14:textId="18B1D5D5"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15.6</w:t>
            </w:r>
          </w:p>
        </w:tc>
        <w:tc>
          <w:tcPr>
            <w:tcW w:w="147" w:type="pct"/>
            <w:shd w:val="clear" w:color="auto" w:fill="FFFFFF" w:themeFill="background1"/>
          </w:tcPr>
          <w:p w14:paraId="7DADC4A7" w14:textId="796513C8"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15.6</w:t>
            </w:r>
          </w:p>
        </w:tc>
        <w:tc>
          <w:tcPr>
            <w:tcW w:w="147" w:type="pct"/>
            <w:shd w:val="clear" w:color="auto" w:fill="FFFFFF" w:themeFill="background1"/>
          </w:tcPr>
          <w:p w14:paraId="0E5E290A" w14:textId="35B4E3D5"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15.6</w:t>
            </w:r>
          </w:p>
        </w:tc>
        <w:tc>
          <w:tcPr>
            <w:tcW w:w="147" w:type="pct"/>
            <w:shd w:val="clear" w:color="auto" w:fill="FFFFFF" w:themeFill="background1"/>
          </w:tcPr>
          <w:p w14:paraId="4D592D8A" w14:textId="779525BD"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15.6</w:t>
            </w:r>
          </w:p>
        </w:tc>
        <w:tc>
          <w:tcPr>
            <w:tcW w:w="147" w:type="pct"/>
            <w:shd w:val="clear" w:color="auto" w:fill="FFFFFF" w:themeFill="background1"/>
          </w:tcPr>
          <w:p w14:paraId="7134D6DB" w14:textId="2FD5A8D1"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15.6</w:t>
            </w:r>
          </w:p>
        </w:tc>
        <w:tc>
          <w:tcPr>
            <w:tcW w:w="147" w:type="pct"/>
            <w:shd w:val="clear" w:color="auto" w:fill="FFFFFF" w:themeFill="background1"/>
          </w:tcPr>
          <w:p w14:paraId="13237397" w14:textId="32BA15CB"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15.6</w:t>
            </w:r>
          </w:p>
        </w:tc>
        <w:tc>
          <w:tcPr>
            <w:tcW w:w="147" w:type="pct"/>
            <w:shd w:val="clear" w:color="auto" w:fill="FFFFFF" w:themeFill="background1"/>
          </w:tcPr>
          <w:p w14:paraId="52162E36" w14:textId="27E2EB9B"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15.6</w:t>
            </w:r>
          </w:p>
        </w:tc>
        <w:tc>
          <w:tcPr>
            <w:tcW w:w="147" w:type="pct"/>
            <w:shd w:val="clear" w:color="auto" w:fill="FFFFFF" w:themeFill="background1"/>
          </w:tcPr>
          <w:p w14:paraId="37F7BCF6" w14:textId="47757180"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15.6</w:t>
            </w:r>
          </w:p>
        </w:tc>
        <w:tc>
          <w:tcPr>
            <w:tcW w:w="148" w:type="pct"/>
            <w:shd w:val="clear" w:color="auto" w:fill="FFFFFF" w:themeFill="background1"/>
          </w:tcPr>
          <w:p w14:paraId="3619000F" w14:textId="7F900D51" w:rsidR="007948EE" w:rsidRPr="001F4B4F"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15.4</w:t>
            </w:r>
          </w:p>
        </w:tc>
      </w:tr>
      <w:tr w:rsidR="00562626" w14:paraId="26868822" w14:textId="77777777" w:rsidTr="007948EE">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Borders>
              <w:right w:val="nil"/>
            </w:tcBorders>
            <w:shd w:val="clear" w:color="auto" w:fill="00B0F0"/>
          </w:tcPr>
          <w:p w14:paraId="06BA4547" w14:textId="6CC02D01" w:rsidR="001F4B4F" w:rsidRPr="00884827" w:rsidRDefault="00FE28CD" w:rsidP="001F4B4F">
            <w:pPr>
              <w:pStyle w:val="TableLeftText"/>
              <w:rPr>
                <w:rFonts w:ascii="Franklin Gothic Medium" w:hAnsi="Franklin Gothic Medium"/>
                <w:color w:val="FFFFFF" w:themeColor="background1"/>
                <w:sz w:val="18"/>
                <w:szCs w:val="18"/>
              </w:rPr>
            </w:pPr>
            <w:r>
              <w:rPr>
                <w:rFonts w:ascii="Franklin Gothic Medium" w:hAnsi="Franklin Gothic Medium"/>
                <w:color w:val="FFFFFF" w:themeColor="background1"/>
                <w:sz w:val="18"/>
                <w:szCs w:val="18"/>
              </w:rPr>
              <w:t>Wood Fuels</w:t>
            </w:r>
          </w:p>
        </w:tc>
        <w:tc>
          <w:tcPr>
            <w:tcW w:w="147" w:type="pct"/>
            <w:tcBorders>
              <w:left w:val="nil"/>
              <w:right w:val="nil"/>
            </w:tcBorders>
            <w:shd w:val="clear" w:color="auto" w:fill="00B0F0"/>
          </w:tcPr>
          <w:p w14:paraId="32A9E55C" w14:textId="545BEA1D"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3AD0C26E" w14:textId="653146F4"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75BFBECA" w14:textId="2E7BF87A"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58073A80" w14:textId="64F82122"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285C28BA" w14:textId="1E1BF3C3"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72933472" w14:textId="31635496"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144FE131" w14:textId="4AB0C2AD"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577EDE4E" w14:textId="7A294BEC"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39233772" w14:textId="1D529E37"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1712D37A" w14:textId="058C52AA"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4847B89A" w14:textId="734BFD73"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0281B827" w14:textId="45471FBC"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4582593B" w14:textId="54994BFB"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34A5F498" w14:textId="1804D07A"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5DA532A0" w14:textId="0BBE8834"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259401F0" w14:textId="277BE8FE"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3A1B178C" w14:textId="57A6114B"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3C633B03" w14:textId="18F24CDB"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45DBC42C" w14:textId="227B2289"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1B019CE9" w14:textId="68E8A55A"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27ED50B7" w14:textId="401C67C1"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563E4D8D" w14:textId="1CC52CD5"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2F320898" w14:textId="5355B96D"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2D80780D" w14:textId="1AB76078"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348A537B" w14:textId="07FC9538"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39B15779" w14:textId="7FF52C9A"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7" w:type="pct"/>
            <w:tcBorders>
              <w:left w:val="nil"/>
              <w:right w:val="nil"/>
            </w:tcBorders>
            <w:shd w:val="clear" w:color="auto" w:fill="00B0F0"/>
          </w:tcPr>
          <w:p w14:paraId="637582DD" w14:textId="7BBD170A"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c>
          <w:tcPr>
            <w:tcW w:w="148" w:type="pct"/>
            <w:tcBorders>
              <w:left w:val="nil"/>
            </w:tcBorders>
            <w:shd w:val="clear" w:color="auto" w:fill="00B0F0"/>
          </w:tcPr>
          <w:p w14:paraId="2E2A442F" w14:textId="2029C7A8" w:rsidR="001F4B4F" w:rsidRPr="001F4B4F" w:rsidRDefault="001F4B4F" w:rsidP="00E774E7">
            <w:pPr>
              <w:pStyle w:val="TableCenterText"/>
              <w:jc w:val="right"/>
              <w:cnfStyle w:val="000000100000" w:firstRow="0" w:lastRow="0" w:firstColumn="0" w:lastColumn="0" w:oddVBand="0" w:evenVBand="0" w:oddHBand="1" w:evenHBand="0" w:firstRowFirstColumn="0" w:firstRowLastColumn="0" w:lastRowFirstColumn="0" w:lastRowLastColumn="0"/>
              <w:rPr>
                <w:rFonts w:ascii="Franklin Gothic Medium" w:hAnsi="Franklin Gothic Medium"/>
                <w:color w:val="4A4D56"/>
                <w:sz w:val="18"/>
                <w:szCs w:val="18"/>
              </w:rPr>
            </w:pPr>
            <w:r w:rsidRPr="001F4B4F">
              <w:rPr>
                <w:rFonts w:ascii="Franklin Gothic Medium" w:hAnsi="Franklin Gothic Medium" w:cs="Arial"/>
                <w:color w:val="4A4D56"/>
              </w:rPr>
              <w:t> </w:t>
            </w:r>
          </w:p>
        </w:tc>
      </w:tr>
      <w:tr w:rsidR="00562626" w14:paraId="5660104D" w14:textId="77777777" w:rsidTr="007948EE">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4D68397D" w14:textId="4EB43554" w:rsidR="00FE28CD" w:rsidRPr="007948EE" w:rsidRDefault="00FE28CD" w:rsidP="00FE28CD">
            <w:pPr>
              <w:pStyle w:val="TableLeftText"/>
              <w:rPr>
                <w:sz w:val="18"/>
                <w:szCs w:val="18"/>
                <w:vertAlign w:val="superscript"/>
              </w:rPr>
            </w:pPr>
            <w:r w:rsidRPr="007948EE">
              <w:rPr>
                <w:sz w:val="18"/>
                <w:szCs w:val="18"/>
              </w:rPr>
              <w:t>Wood chips </w:t>
            </w:r>
          </w:p>
        </w:tc>
        <w:tc>
          <w:tcPr>
            <w:tcW w:w="147" w:type="pct"/>
            <w:shd w:val="clear" w:color="auto" w:fill="FFFFFF" w:themeFill="background1"/>
          </w:tcPr>
          <w:p w14:paraId="691DE250" w14:textId="726EC2A9"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31.6</w:t>
            </w:r>
          </w:p>
        </w:tc>
        <w:tc>
          <w:tcPr>
            <w:tcW w:w="147" w:type="pct"/>
            <w:shd w:val="clear" w:color="auto" w:fill="FFFFFF" w:themeFill="background1"/>
          </w:tcPr>
          <w:p w14:paraId="3A7FFACB" w14:textId="1E2EC3DC"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31.6</w:t>
            </w:r>
          </w:p>
        </w:tc>
        <w:tc>
          <w:tcPr>
            <w:tcW w:w="147" w:type="pct"/>
            <w:shd w:val="clear" w:color="auto" w:fill="FFFFFF" w:themeFill="background1"/>
          </w:tcPr>
          <w:p w14:paraId="5AC50E84" w14:textId="031C8925"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31.5</w:t>
            </w:r>
          </w:p>
        </w:tc>
        <w:tc>
          <w:tcPr>
            <w:tcW w:w="147" w:type="pct"/>
            <w:shd w:val="clear" w:color="auto" w:fill="FFFFFF" w:themeFill="background1"/>
          </w:tcPr>
          <w:p w14:paraId="54CAD6D0" w14:textId="78C60916"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31.5</w:t>
            </w:r>
          </w:p>
        </w:tc>
        <w:tc>
          <w:tcPr>
            <w:tcW w:w="147" w:type="pct"/>
            <w:shd w:val="clear" w:color="auto" w:fill="FFFFFF" w:themeFill="background1"/>
          </w:tcPr>
          <w:p w14:paraId="049FC2E2" w14:textId="6057771F"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31.5</w:t>
            </w:r>
          </w:p>
        </w:tc>
        <w:tc>
          <w:tcPr>
            <w:tcW w:w="147" w:type="pct"/>
            <w:shd w:val="clear" w:color="auto" w:fill="FFFFFF" w:themeFill="background1"/>
          </w:tcPr>
          <w:p w14:paraId="0003F900" w14:textId="1681C0D9"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31.5</w:t>
            </w:r>
          </w:p>
        </w:tc>
        <w:tc>
          <w:tcPr>
            <w:tcW w:w="147" w:type="pct"/>
            <w:shd w:val="clear" w:color="auto" w:fill="FFFFFF" w:themeFill="background1"/>
          </w:tcPr>
          <w:p w14:paraId="33741E83" w14:textId="0ACFFD7B"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31.5</w:t>
            </w:r>
          </w:p>
        </w:tc>
        <w:tc>
          <w:tcPr>
            <w:tcW w:w="147" w:type="pct"/>
            <w:shd w:val="clear" w:color="auto" w:fill="FFFFFF" w:themeFill="background1"/>
          </w:tcPr>
          <w:p w14:paraId="08C35333" w14:textId="683C1772"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31.2</w:t>
            </w:r>
          </w:p>
        </w:tc>
        <w:tc>
          <w:tcPr>
            <w:tcW w:w="147" w:type="pct"/>
            <w:shd w:val="clear" w:color="auto" w:fill="FFFFFF" w:themeFill="background1"/>
          </w:tcPr>
          <w:p w14:paraId="485B7107" w14:textId="645C605B"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31.2</w:t>
            </w:r>
          </w:p>
        </w:tc>
        <w:tc>
          <w:tcPr>
            <w:tcW w:w="147" w:type="pct"/>
            <w:shd w:val="clear" w:color="auto" w:fill="FFFFFF" w:themeFill="background1"/>
          </w:tcPr>
          <w:p w14:paraId="770C0327" w14:textId="46E96B22"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31.2</w:t>
            </w:r>
          </w:p>
        </w:tc>
        <w:tc>
          <w:tcPr>
            <w:tcW w:w="147" w:type="pct"/>
            <w:shd w:val="clear" w:color="auto" w:fill="FFFFFF" w:themeFill="background1"/>
          </w:tcPr>
          <w:p w14:paraId="22E1DD04" w14:textId="03BFDCA9"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31.2</w:t>
            </w:r>
          </w:p>
        </w:tc>
        <w:tc>
          <w:tcPr>
            <w:tcW w:w="147" w:type="pct"/>
            <w:shd w:val="clear" w:color="auto" w:fill="FFFFFF" w:themeFill="background1"/>
          </w:tcPr>
          <w:p w14:paraId="4DE8A105" w14:textId="7280E2AF"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31.2</w:t>
            </w:r>
          </w:p>
        </w:tc>
        <w:tc>
          <w:tcPr>
            <w:tcW w:w="147" w:type="pct"/>
            <w:shd w:val="clear" w:color="auto" w:fill="FFFFFF" w:themeFill="background1"/>
          </w:tcPr>
          <w:p w14:paraId="707609FD" w14:textId="5585429E"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31.1</w:t>
            </w:r>
          </w:p>
        </w:tc>
        <w:tc>
          <w:tcPr>
            <w:tcW w:w="147" w:type="pct"/>
            <w:shd w:val="clear" w:color="auto" w:fill="FFFFFF" w:themeFill="background1"/>
          </w:tcPr>
          <w:p w14:paraId="7B6A328E" w14:textId="745988BA"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31.1</w:t>
            </w:r>
          </w:p>
        </w:tc>
        <w:tc>
          <w:tcPr>
            <w:tcW w:w="147" w:type="pct"/>
            <w:shd w:val="clear" w:color="auto" w:fill="FFFFFF" w:themeFill="background1"/>
          </w:tcPr>
          <w:p w14:paraId="34227756" w14:textId="29DF45E7"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31.1</w:t>
            </w:r>
          </w:p>
        </w:tc>
        <w:tc>
          <w:tcPr>
            <w:tcW w:w="147" w:type="pct"/>
            <w:shd w:val="clear" w:color="auto" w:fill="FFFFFF" w:themeFill="background1"/>
          </w:tcPr>
          <w:p w14:paraId="2948DA90" w14:textId="75896BFB"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31.1</w:t>
            </w:r>
          </w:p>
        </w:tc>
        <w:tc>
          <w:tcPr>
            <w:tcW w:w="147" w:type="pct"/>
            <w:shd w:val="clear" w:color="auto" w:fill="FFFFFF" w:themeFill="background1"/>
          </w:tcPr>
          <w:p w14:paraId="6AF58241" w14:textId="34007DD0"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31.1</w:t>
            </w:r>
          </w:p>
        </w:tc>
        <w:tc>
          <w:tcPr>
            <w:tcW w:w="147" w:type="pct"/>
            <w:shd w:val="clear" w:color="auto" w:fill="FFFFFF" w:themeFill="background1"/>
          </w:tcPr>
          <w:p w14:paraId="6792DD70" w14:textId="11E75155"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31.1</w:t>
            </w:r>
          </w:p>
        </w:tc>
        <w:tc>
          <w:tcPr>
            <w:tcW w:w="147" w:type="pct"/>
            <w:shd w:val="clear" w:color="auto" w:fill="FFFFFF" w:themeFill="background1"/>
          </w:tcPr>
          <w:p w14:paraId="08460C33" w14:textId="7227E944"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31.1</w:t>
            </w:r>
          </w:p>
        </w:tc>
        <w:tc>
          <w:tcPr>
            <w:tcW w:w="147" w:type="pct"/>
            <w:shd w:val="clear" w:color="auto" w:fill="FFFFFF" w:themeFill="background1"/>
          </w:tcPr>
          <w:p w14:paraId="024EB355" w14:textId="002CC92C"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31.1</w:t>
            </w:r>
          </w:p>
        </w:tc>
        <w:tc>
          <w:tcPr>
            <w:tcW w:w="147" w:type="pct"/>
            <w:shd w:val="clear" w:color="auto" w:fill="FFFFFF" w:themeFill="background1"/>
          </w:tcPr>
          <w:p w14:paraId="20427D34" w14:textId="512E4D03"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31.1</w:t>
            </w:r>
          </w:p>
        </w:tc>
        <w:tc>
          <w:tcPr>
            <w:tcW w:w="147" w:type="pct"/>
            <w:shd w:val="clear" w:color="auto" w:fill="FFFFFF" w:themeFill="background1"/>
          </w:tcPr>
          <w:p w14:paraId="31C9E5A6" w14:textId="784D567D"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31.1</w:t>
            </w:r>
          </w:p>
        </w:tc>
        <w:tc>
          <w:tcPr>
            <w:tcW w:w="147" w:type="pct"/>
            <w:shd w:val="clear" w:color="auto" w:fill="FFFFFF" w:themeFill="background1"/>
          </w:tcPr>
          <w:p w14:paraId="297BCCCD" w14:textId="49FBDEF0"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31.1</w:t>
            </w:r>
          </w:p>
        </w:tc>
        <w:tc>
          <w:tcPr>
            <w:tcW w:w="147" w:type="pct"/>
            <w:shd w:val="clear" w:color="auto" w:fill="FFFFFF" w:themeFill="background1"/>
          </w:tcPr>
          <w:p w14:paraId="0D6C907E" w14:textId="5EA47BD2"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31.1</w:t>
            </w:r>
          </w:p>
        </w:tc>
        <w:tc>
          <w:tcPr>
            <w:tcW w:w="147" w:type="pct"/>
            <w:shd w:val="clear" w:color="auto" w:fill="FFFFFF" w:themeFill="background1"/>
          </w:tcPr>
          <w:p w14:paraId="18EFF835" w14:textId="672F10F0"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31.1</w:t>
            </w:r>
          </w:p>
        </w:tc>
        <w:tc>
          <w:tcPr>
            <w:tcW w:w="147" w:type="pct"/>
            <w:shd w:val="clear" w:color="auto" w:fill="FFFFFF" w:themeFill="background1"/>
          </w:tcPr>
          <w:p w14:paraId="4911D934" w14:textId="13A9A560"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31.1</w:t>
            </w:r>
          </w:p>
        </w:tc>
        <w:tc>
          <w:tcPr>
            <w:tcW w:w="147" w:type="pct"/>
            <w:shd w:val="clear" w:color="auto" w:fill="FFFFFF" w:themeFill="background1"/>
          </w:tcPr>
          <w:p w14:paraId="4CC67276" w14:textId="6E3A13B6"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31.1</w:t>
            </w:r>
          </w:p>
        </w:tc>
        <w:tc>
          <w:tcPr>
            <w:tcW w:w="148" w:type="pct"/>
            <w:shd w:val="clear" w:color="auto" w:fill="FFFFFF" w:themeFill="background1"/>
          </w:tcPr>
          <w:p w14:paraId="7421F926" w14:textId="45132407"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31.0</w:t>
            </w:r>
          </w:p>
        </w:tc>
      </w:tr>
      <w:tr w:rsidR="00562626" w14:paraId="79CBA02A" w14:textId="77777777" w:rsidTr="007948EE">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5ED91318" w14:textId="0A5A0493" w:rsidR="00FE28CD" w:rsidRPr="007948EE" w:rsidRDefault="00FE28CD" w:rsidP="00FE28CD">
            <w:pPr>
              <w:pStyle w:val="TableLeftText"/>
              <w:rPr>
                <w:sz w:val="18"/>
                <w:szCs w:val="18"/>
                <w:vertAlign w:val="superscript"/>
              </w:rPr>
            </w:pPr>
            <w:r w:rsidRPr="007948EE">
              <w:rPr>
                <w:sz w:val="18"/>
                <w:szCs w:val="18"/>
              </w:rPr>
              <w:t>Wood pellets</w:t>
            </w:r>
          </w:p>
        </w:tc>
        <w:tc>
          <w:tcPr>
            <w:tcW w:w="147" w:type="pct"/>
            <w:shd w:val="clear" w:color="auto" w:fill="FFFFFF" w:themeFill="background1"/>
          </w:tcPr>
          <w:p w14:paraId="48BE6060" w14:textId="3A6E41B0"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56.2</w:t>
            </w:r>
          </w:p>
        </w:tc>
        <w:tc>
          <w:tcPr>
            <w:tcW w:w="147" w:type="pct"/>
            <w:shd w:val="clear" w:color="auto" w:fill="FFFFFF" w:themeFill="background1"/>
          </w:tcPr>
          <w:p w14:paraId="4A8428DA" w14:textId="32DABEF3"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56.2</w:t>
            </w:r>
          </w:p>
        </w:tc>
        <w:tc>
          <w:tcPr>
            <w:tcW w:w="147" w:type="pct"/>
            <w:shd w:val="clear" w:color="auto" w:fill="FFFFFF" w:themeFill="background1"/>
          </w:tcPr>
          <w:p w14:paraId="4B201533" w14:textId="0CDC4B18"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55.5</w:t>
            </w:r>
          </w:p>
        </w:tc>
        <w:tc>
          <w:tcPr>
            <w:tcW w:w="147" w:type="pct"/>
            <w:shd w:val="clear" w:color="auto" w:fill="FFFFFF" w:themeFill="background1"/>
          </w:tcPr>
          <w:p w14:paraId="28DA35D9" w14:textId="7A3990E3"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55.5</w:t>
            </w:r>
          </w:p>
        </w:tc>
        <w:tc>
          <w:tcPr>
            <w:tcW w:w="147" w:type="pct"/>
            <w:shd w:val="clear" w:color="auto" w:fill="FFFFFF" w:themeFill="background1"/>
          </w:tcPr>
          <w:p w14:paraId="56508405" w14:textId="0D784503"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55.5</w:t>
            </w:r>
          </w:p>
        </w:tc>
        <w:tc>
          <w:tcPr>
            <w:tcW w:w="147" w:type="pct"/>
            <w:shd w:val="clear" w:color="auto" w:fill="FFFFFF" w:themeFill="background1"/>
          </w:tcPr>
          <w:p w14:paraId="69E5AAE0" w14:textId="59FC30F8"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55.5</w:t>
            </w:r>
          </w:p>
        </w:tc>
        <w:tc>
          <w:tcPr>
            <w:tcW w:w="147" w:type="pct"/>
            <w:shd w:val="clear" w:color="auto" w:fill="FFFFFF" w:themeFill="background1"/>
          </w:tcPr>
          <w:p w14:paraId="2AD94545" w14:textId="3AEF92BB"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55.5</w:t>
            </w:r>
          </w:p>
        </w:tc>
        <w:tc>
          <w:tcPr>
            <w:tcW w:w="147" w:type="pct"/>
            <w:shd w:val="clear" w:color="auto" w:fill="FFFFFF" w:themeFill="background1"/>
          </w:tcPr>
          <w:p w14:paraId="6C431F23" w14:textId="13DCD459"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53.5</w:t>
            </w:r>
          </w:p>
        </w:tc>
        <w:tc>
          <w:tcPr>
            <w:tcW w:w="147" w:type="pct"/>
            <w:shd w:val="clear" w:color="auto" w:fill="FFFFFF" w:themeFill="background1"/>
          </w:tcPr>
          <w:p w14:paraId="660E6EF5" w14:textId="19CB0797"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53.5</w:t>
            </w:r>
          </w:p>
        </w:tc>
        <w:tc>
          <w:tcPr>
            <w:tcW w:w="147" w:type="pct"/>
            <w:shd w:val="clear" w:color="auto" w:fill="FFFFFF" w:themeFill="background1"/>
          </w:tcPr>
          <w:p w14:paraId="52C3A6E9" w14:textId="1CEEFA9C"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53.5</w:t>
            </w:r>
          </w:p>
        </w:tc>
        <w:tc>
          <w:tcPr>
            <w:tcW w:w="147" w:type="pct"/>
            <w:shd w:val="clear" w:color="auto" w:fill="FFFFFF" w:themeFill="background1"/>
          </w:tcPr>
          <w:p w14:paraId="36E726CA" w14:textId="1710E27B"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53.5</w:t>
            </w:r>
          </w:p>
        </w:tc>
        <w:tc>
          <w:tcPr>
            <w:tcW w:w="147" w:type="pct"/>
            <w:shd w:val="clear" w:color="auto" w:fill="FFFFFF" w:themeFill="background1"/>
          </w:tcPr>
          <w:p w14:paraId="5CC7EDAC" w14:textId="7DCD37CF"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53.5</w:t>
            </w:r>
          </w:p>
        </w:tc>
        <w:tc>
          <w:tcPr>
            <w:tcW w:w="147" w:type="pct"/>
            <w:shd w:val="clear" w:color="auto" w:fill="FFFFFF" w:themeFill="background1"/>
          </w:tcPr>
          <w:p w14:paraId="7CF5B499" w14:textId="44E30A11"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53.2</w:t>
            </w:r>
          </w:p>
        </w:tc>
        <w:tc>
          <w:tcPr>
            <w:tcW w:w="147" w:type="pct"/>
            <w:shd w:val="clear" w:color="auto" w:fill="FFFFFF" w:themeFill="background1"/>
          </w:tcPr>
          <w:p w14:paraId="791E5EF8" w14:textId="55061068"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53.2</w:t>
            </w:r>
          </w:p>
        </w:tc>
        <w:tc>
          <w:tcPr>
            <w:tcW w:w="147" w:type="pct"/>
            <w:shd w:val="clear" w:color="auto" w:fill="FFFFFF" w:themeFill="background1"/>
          </w:tcPr>
          <w:p w14:paraId="1D2E4702" w14:textId="64B044A3"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53.2</w:t>
            </w:r>
          </w:p>
        </w:tc>
        <w:tc>
          <w:tcPr>
            <w:tcW w:w="147" w:type="pct"/>
            <w:shd w:val="clear" w:color="auto" w:fill="FFFFFF" w:themeFill="background1"/>
          </w:tcPr>
          <w:p w14:paraId="1366D565" w14:textId="59461FC4"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53.2</w:t>
            </w:r>
          </w:p>
        </w:tc>
        <w:tc>
          <w:tcPr>
            <w:tcW w:w="147" w:type="pct"/>
            <w:shd w:val="clear" w:color="auto" w:fill="FFFFFF" w:themeFill="background1"/>
          </w:tcPr>
          <w:p w14:paraId="6B1549F9" w14:textId="723D9A63"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53.2</w:t>
            </w:r>
          </w:p>
        </w:tc>
        <w:tc>
          <w:tcPr>
            <w:tcW w:w="147" w:type="pct"/>
            <w:shd w:val="clear" w:color="auto" w:fill="FFFFFF" w:themeFill="background1"/>
          </w:tcPr>
          <w:p w14:paraId="2AC3BDD5" w14:textId="4058AF4B"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53.1</w:t>
            </w:r>
          </w:p>
        </w:tc>
        <w:tc>
          <w:tcPr>
            <w:tcW w:w="147" w:type="pct"/>
            <w:shd w:val="clear" w:color="auto" w:fill="FFFFFF" w:themeFill="background1"/>
          </w:tcPr>
          <w:p w14:paraId="32566F45" w14:textId="2549964E"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53.1</w:t>
            </w:r>
          </w:p>
        </w:tc>
        <w:tc>
          <w:tcPr>
            <w:tcW w:w="147" w:type="pct"/>
            <w:shd w:val="clear" w:color="auto" w:fill="FFFFFF" w:themeFill="background1"/>
          </w:tcPr>
          <w:p w14:paraId="38F76A35" w14:textId="131801CF"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53.1</w:t>
            </w:r>
          </w:p>
        </w:tc>
        <w:tc>
          <w:tcPr>
            <w:tcW w:w="147" w:type="pct"/>
            <w:shd w:val="clear" w:color="auto" w:fill="FFFFFF" w:themeFill="background1"/>
          </w:tcPr>
          <w:p w14:paraId="06B23951" w14:textId="1B0A2304"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53.1</w:t>
            </w:r>
          </w:p>
        </w:tc>
        <w:tc>
          <w:tcPr>
            <w:tcW w:w="147" w:type="pct"/>
            <w:shd w:val="clear" w:color="auto" w:fill="FFFFFF" w:themeFill="background1"/>
          </w:tcPr>
          <w:p w14:paraId="7E4D8587" w14:textId="6EEE087F"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53.1</w:t>
            </w:r>
          </w:p>
        </w:tc>
        <w:tc>
          <w:tcPr>
            <w:tcW w:w="147" w:type="pct"/>
            <w:shd w:val="clear" w:color="auto" w:fill="FFFFFF" w:themeFill="background1"/>
          </w:tcPr>
          <w:p w14:paraId="7F089994" w14:textId="3CC8EB3F"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53.0</w:t>
            </w:r>
          </w:p>
        </w:tc>
        <w:tc>
          <w:tcPr>
            <w:tcW w:w="147" w:type="pct"/>
            <w:shd w:val="clear" w:color="auto" w:fill="FFFFFF" w:themeFill="background1"/>
          </w:tcPr>
          <w:p w14:paraId="07F8C79E" w14:textId="02F59427"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53.0</w:t>
            </w:r>
          </w:p>
        </w:tc>
        <w:tc>
          <w:tcPr>
            <w:tcW w:w="147" w:type="pct"/>
            <w:shd w:val="clear" w:color="auto" w:fill="FFFFFF" w:themeFill="background1"/>
          </w:tcPr>
          <w:p w14:paraId="6E0EADD2" w14:textId="22413B7D"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53.0</w:t>
            </w:r>
          </w:p>
        </w:tc>
        <w:tc>
          <w:tcPr>
            <w:tcW w:w="147" w:type="pct"/>
            <w:shd w:val="clear" w:color="auto" w:fill="FFFFFF" w:themeFill="background1"/>
          </w:tcPr>
          <w:p w14:paraId="442F3EAF" w14:textId="3B940168"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53.0</w:t>
            </w:r>
          </w:p>
        </w:tc>
        <w:tc>
          <w:tcPr>
            <w:tcW w:w="147" w:type="pct"/>
            <w:shd w:val="clear" w:color="auto" w:fill="FFFFFF" w:themeFill="background1"/>
          </w:tcPr>
          <w:p w14:paraId="6384A0E7" w14:textId="3806B8D7"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53.0</w:t>
            </w:r>
          </w:p>
        </w:tc>
        <w:tc>
          <w:tcPr>
            <w:tcW w:w="148" w:type="pct"/>
            <w:shd w:val="clear" w:color="auto" w:fill="FFFFFF" w:themeFill="background1"/>
          </w:tcPr>
          <w:p w14:paraId="721DBC3F" w14:textId="74EDE393"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52.8</w:t>
            </w:r>
          </w:p>
        </w:tc>
      </w:tr>
      <w:tr w:rsidR="00562626" w14:paraId="4616E029" w14:textId="77777777" w:rsidTr="007948EE">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3E15610A" w14:textId="65406594" w:rsidR="00FE28CD" w:rsidRPr="007948EE" w:rsidRDefault="00FE28CD" w:rsidP="00FE28CD">
            <w:pPr>
              <w:pStyle w:val="TableLeftText"/>
              <w:rPr>
                <w:sz w:val="18"/>
                <w:szCs w:val="18"/>
                <w:vertAlign w:val="superscript"/>
              </w:rPr>
            </w:pPr>
            <w:r w:rsidRPr="007948EE">
              <w:rPr>
                <w:sz w:val="18"/>
                <w:szCs w:val="18"/>
              </w:rPr>
              <w:t>Firewood, commercial</w:t>
            </w:r>
          </w:p>
        </w:tc>
        <w:tc>
          <w:tcPr>
            <w:tcW w:w="147" w:type="pct"/>
            <w:shd w:val="clear" w:color="auto" w:fill="FFFFFF" w:themeFill="background1"/>
          </w:tcPr>
          <w:p w14:paraId="5538A3BC" w14:textId="7285BD3F"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32.0</w:t>
            </w:r>
          </w:p>
        </w:tc>
        <w:tc>
          <w:tcPr>
            <w:tcW w:w="147" w:type="pct"/>
            <w:shd w:val="clear" w:color="auto" w:fill="FFFFFF" w:themeFill="background1"/>
          </w:tcPr>
          <w:p w14:paraId="78EE3ABC" w14:textId="0FBA1BF7"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32.0</w:t>
            </w:r>
          </w:p>
        </w:tc>
        <w:tc>
          <w:tcPr>
            <w:tcW w:w="147" w:type="pct"/>
            <w:shd w:val="clear" w:color="auto" w:fill="FFFFFF" w:themeFill="background1"/>
          </w:tcPr>
          <w:p w14:paraId="66503D86" w14:textId="71CF92CB"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31.9</w:t>
            </w:r>
          </w:p>
        </w:tc>
        <w:tc>
          <w:tcPr>
            <w:tcW w:w="147" w:type="pct"/>
            <w:shd w:val="clear" w:color="auto" w:fill="FFFFFF" w:themeFill="background1"/>
          </w:tcPr>
          <w:p w14:paraId="2F552801" w14:textId="433F5B33"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31.9</w:t>
            </w:r>
          </w:p>
        </w:tc>
        <w:tc>
          <w:tcPr>
            <w:tcW w:w="147" w:type="pct"/>
            <w:shd w:val="clear" w:color="auto" w:fill="FFFFFF" w:themeFill="background1"/>
          </w:tcPr>
          <w:p w14:paraId="70EC7E89" w14:textId="709A8B44"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31.9</w:t>
            </w:r>
          </w:p>
        </w:tc>
        <w:tc>
          <w:tcPr>
            <w:tcW w:w="147" w:type="pct"/>
            <w:shd w:val="clear" w:color="auto" w:fill="FFFFFF" w:themeFill="background1"/>
          </w:tcPr>
          <w:p w14:paraId="3BBF353F" w14:textId="73DDA470"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31.9</w:t>
            </w:r>
          </w:p>
        </w:tc>
        <w:tc>
          <w:tcPr>
            <w:tcW w:w="147" w:type="pct"/>
            <w:shd w:val="clear" w:color="auto" w:fill="FFFFFF" w:themeFill="background1"/>
          </w:tcPr>
          <w:p w14:paraId="316A85E2" w14:textId="18FA5CE4"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31.9</w:t>
            </w:r>
          </w:p>
        </w:tc>
        <w:tc>
          <w:tcPr>
            <w:tcW w:w="147" w:type="pct"/>
            <w:shd w:val="clear" w:color="auto" w:fill="FFFFFF" w:themeFill="background1"/>
          </w:tcPr>
          <w:p w14:paraId="5E9EFA54" w14:textId="57CA6893"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31.8</w:t>
            </w:r>
          </w:p>
        </w:tc>
        <w:tc>
          <w:tcPr>
            <w:tcW w:w="147" w:type="pct"/>
            <w:shd w:val="clear" w:color="auto" w:fill="FFFFFF" w:themeFill="background1"/>
          </w:tcPr>
          <w:p w14:paraId="13F65072" w14:textId="0B1AAFC4"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31.8</w:t>
            </w:r>
          </w:p>
        </w:tc>
        <w:tc>
          <w:tcPr>
            <w:tcW w:w="147" w:type="pct"/>
            <w:shd w:val="clear" w:color="auto" w:fill="FFFFFF" w:themeFill="background1"/>
          </w:tcPr>
          <w:p w14:paraId="6B78D66A" w14:textId="19D595F2"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31.8</w:t>
            </w:r>
          </w:p>
        </w:tc>
        <w:tc>
          <w:tcPr>
            <w:tcW w:w="147" w:type="pct"/>
            <w:shd w:val="clear" w:color="auto" w:fill="FFFFFF" w:themeFill="background1"/>
          </w:tcPr>
          <w:p w14:paraId="15C698C5" w14:textId="31E6310B"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31.8</w:t>
            </w:r>
          </w:p>
        </w:tc>
        <w:tc>
          <w:tcPr>
            <w:tcW w:w="147" w:type="pct"/>
            <w:shd w:val="clear" w:color="auto" w:fill="FFFFFF" w:themeFill="background1"/>
          </w:tcPr>
          <w:p w14:paraId="7EDF8592" w14:textId="66F43B73"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31.8</w:t>
            </w:r>
          </w:p>
        </w:tc>
        <w:tc>
          <w:tcPr>
            <w:tcW w:w="147" w:type="pct"/>
            <w:shd w:val="clear" w:color="auto" w:fill="FFFFFF" w:themeFill="background1"/>
          </w:tcPr>
          <w:p w14:paraId="6014213B" w14:textId="42999D6B"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31.7</w:t>
            </w:r>
          </w:p>
        </w:tc>
        <w:tc>
          <w:tcPr>
            <w:tcW w:w="147" w:type="pct"/>
            <w:shd w:val="clear" w:color="auto" w:fill="FFFFFF" w:themeFill="background1"/>
          </w:tcPr>
          <w:p w14:paraId="7F4BC38C" w14:textId="1A38E844"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31.7</w:t>
            </w:r>
          </w:p>
        </w:tc>
        <w:tc>
          <w:tcPr>
            <w:tcW w:w="147" w:type="pct"/>
            <w:shd w:val="clear" w:color="auto" w:fill="FFFFFF" w:themeFill="background1"/>
          </w:tcPr>
          <w:p w14:paraId="1899E060" w14:textId="14333CBE"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31.7</w:t>
            </w:r>
          </w:p>
        </w:tc>
        <w:tc>
          <w:tcPr>
            <w:tcW w:w="147" w:type="pct"/>
            <w:shd w:val="clear" w:color="auto" w:fill="FFFFFF" w:themeFill="background1"/>
          </w:tcPr>
          <w:p w14:paraId="624188EE" w14:textId="0CADF5CE"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31.7</w:t>
            </w:r>
          </w:p>
        </w:tc>
        <w:tc>
          <w:tcPr>
            <w:tcW w:w="147" w:type="pct"/>
            <w:shd w:val="clear" w:color="auto" w:fill="FFFFFF" w:themeFill="background1"/>
          </w:tcPr>
          <w:p w14:paraId="072F0C4C" w14:textId="08BB9CD5"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31.7</w:t>
            </w:r>
          </w:p>
        </w:tc>
        <w:tc>
          <w:tcPr>
            <w:tcW w:w="147" w:type="pct"/>
            <w:shd w:val="clear" w:color="auto" w:fill="FFFFFF" w:themeFill="background1"/>
          </w:tcPr>
          <w:p w14:paraId="32F7806C" w14:textId="207C4550"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31.7</w:t>
            </w:r>
          </w:p>
        </w:tc>
        <w:tc>
          <w:tcPr>
            <w:tcW w:w="147" w:type="pct"/>
            <w:shd w:val="clear" w:color="auto" w:fill="FFFFFF" w:themeFill="background1"/>
          </w:tcPr>
          <w:p w14:paraId="5C068DA5" w14:textId="5A7BCECD"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31.7</w:t>
            </w:r>
          </w:p>
        </w:tc>
        <w:tc>
          <w:tcPr>
            <w:tcW w:w="147" w:type="pct"/>
            <w:shd w:val="clear" w:color="auto" w:fill="FFFFFF" w:themeFill="background1"/>
          </w:tcPr>
          <w:p w14:paraId="0274C7B0" w14:textId="5AB965EA"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31.7</w:t>
            </w:r>
          </w:p>
        </w:tc>
        <w:tc>
          <w:tcPr>
            <w:tcW w:w="147" w:type="pct"/>
            <w:shd w:val="clear" w:color="auto" w:fill="FFFFFF" w:themeFill="background1"/>
          </w:tcPr>
          <w:p w14:paraId="551D6F1F" w14:textId="15879AE0"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31.7</w:t>
            </w:r>
          </w:p>
        </w:tc>
        <w:tc>
          <w:tcPr>
            <w:tcW w:w="147" w:type="pct"/>
            <w:shd w:val="clear" w:color="auto" w:fill="FFFFFF" w:themeFill="background1"/>
          </w:tcPr>
          <w:p w14:paraId="653CDD57" w14:textId="0E4D4730"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31.7</w:t>
            </w:r>
          </w:p>
        </w:tc>
        <w:tc>
          <w:tcPr>
            <w:tcW w:w="147" w:type="pct"/>
            <w:shd w:val="clear" w:color="auto" w:fill="FFFFFF" w:themeFill="background1"/>
          </w:tcPr>
          <w:p w14:paraId="6B0444B8" w14:textId="45B0BEAD"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31.7</w:t>
            </w:r>
          </w:p>
        </w:tc>
        <w:tc>
          <w:tcPr>
            <w:tcW w:w="147" w:type="pct"/>
            <w:shd w:val="clear" w:color="auto" w:fill="FFFFFF" w:themeFill="background1"/>
          </w:tcPr>
          <w:p w14:paraId="1DCD3930" w14:textId="288FBC34"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31.7</w:t>
            </w:r>
          </w:p>
        </w:tc>
        <w:tc>
          <w:tcPr>
            <w:tcW w:w="147" w:type="pct"/>
            <w:shd w:val="clear" w:color="auto" w:fill="FFFFFF" w:themeFill="background1"/>
          </w:tcPr>
          <w:p w14:paraId="6517A11B" w14:textId="2D33EA10"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31.7</w:t>
            </w:r>
          </w:p>
        </w:tc>
        <w:tc>
          <w:tcPr>
            <w:tcW w:w="147" w:type="pct"/>
            <w:shd w:val="clear" w:color="auto" w:fill="FFFFFF" w:themeFill="background1"/>
          </w:tcPr>
          <w:p w14:paraId="568C6B43" w14:textId="3BA7331E"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31.7</w:t>
            </w:r>
          </w:p>
        </w:tc>
        <w:tc>
          <w:tcPr>
            <w:tcW w:w="147" w:type="pct"/>
            <w:shd w:val="clear" w:color="auto" w:fill="FFFFFF" w:themeFill="background1"/>
          </w:tcPr>
          <w:p w14:paraId="63FBDD1A" w14:textId="1860CE6F"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31.7</w:t>
            </w:r>
          </w:p>
        </w:tc>
        <w:tc>
          <w:tcPr>
            <w:tcW w:w="148" w:type="pct"/>
            <w:shd w:val="clear" w:color="auto" w:fill="FFFFFF" w:themeFill="background1"/>
          </w:tcPr>
          <w:p w14:paraId="505E20A3" w14:textId="54DC2535" w:rsidR="00FE28CD" w:rsidRPr="001F4B4F" w:rsidRDefault="00FE28CD" w:rsidP="00FE28CD">
            <w:pPr>
              <w:pStyle w:val="TableCenterText"/>
              <w:jc w:val="right"/>
              <w:cnfStyle w:val="000000010000" w:firstRow="0" w:lastRow="0" w:firstColumn="0" w:lastColumn="0" w:oddVBand="0" w:evenVBand="0" w:oddHBand="0" w:evenHBand="1" w:firstRowFirstColumn="0" w:firstRowLastColumn="0" w:lastRowFirstColumn="0" w:lastRowLastColumn="0"/>
              <w:rPr>
                <w:color w:val="4A4D56"/>
                <w:sz w:val="18"/>
                <w:szCs w:val="18"/>
              </w:rPr>
            </w:pPr>
            <w:r w:rsidRPr="001F4B4F">
              <w:rPr>
                <w:rFonts w:cs="Arial"/>
                <w:color w:val="4A4D56"/>
              </w:rPr>
              <w:t>31.6</w:t>
            </w:r>
          </w:p>
        </w:tc>
      </w:tr>
      <w:tr w:rsidR="00562626" w14:paraId="1E23BF70" w14:textId="77777777" w:rsidTr="00FE28CD">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2E2F9B68" w14:textId="1C8C3487" w:rsidR="00FE28CD" w:rsidRPr="007948EE" w:rsidRDefault="00FE28CD" w:rsidP="00FE28CD">
            <w:pPr>
              <w:pStyle w:val="TableLeftText"/>
              <w:rPr>
                <w:sz w:val="18"/>
                <w:szCs w:val="18"/>
                <w:vertAlign w:val="superscript"/>
              </w:rPr>
            </w:pPr>
            <w:r w:rsidRPr="007948EE">
              <w:rPr>
                <w:sz w:val="18"/>
                <w:szCs w:val="18"/>
              </w:rPr>
              <w:t>Firewood, non-commercial</w:t>
            </w:r>
          </w:p>
        </w:tc>
        <w:tc>
          <w:tcPr>
            <w:tcW w:w="147" w:type="pct"/>
            <w:shd w:val="clear" w:color="auto" w:fill="FFFFFF" w:themeFill="background1"/>
          </w:tcPr>
          <w:p w14:paraId="7369BE8B" w14:textId="49C7E374"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3ABFCB90" w14:textId="146DACC3"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6AF130E5" w14:textId="4E898397"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41EDBC60" w14:textId="0C8A0E07"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58607A07" w14:textId="2748D1AD"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08363F81" w14:textId="2FA096FE"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242EECFD" w14:textId="3ECD4A24"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3746776F" w14:textId="64A225EF"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2560A8C7" w14:textId="3B964061"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0837B0C4" w14:textId="0E309B10"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5B84F3D7" w14:textId="79B975C6"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168B787E" w14:textId="5AE81946"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7F9A3723" w14:textId="151E8573"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5A4230D9" w14:textId="4EF23949"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3858EDD8" w14:textId="3D8C7B50"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46A9385B" w14:textId="51638514"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64E3E06F" w14:textId="71F52202"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1525F950" w14:textId="6426AD72"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6CDA369F" w14:textId="3AD8DF08"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0A6E5352" w14:textId="2CF10FF9"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457F3772" w14:textId="36FE83AC"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3C7EF545" w14:textId="5D0E2A82"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6D941E46" w14:textId="0381B2F1"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665A44D6" w14:textId="21BA88BE"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300FA4AD" w14:textId="0C1C958D"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632D6001" w14:textId="3FA2025D"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7" w:type="pct"/>
            <w:shd w:val="clear" w:color="auto" w:fill="FFFFFF" w:themeFill="background1"/>
          </w:tcPr>
          <w:p w14:paraId="5EC8FA6D" w14:textId="45416FD8"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c>
          <w:tcPr>
            <w:tcW w:w="148" w:type="pct"/>
            <w:shd w:val="clear" w:color="auto" w:fill="FFFFFF" w:themeFill="background1"/>
          </w:tcPr>
          <w:p w14:paraId="5F3C0F4C" w14:textId="7A6C84F0" w:rsidR="00FE28CD" w:rsidRPr="001F4B4F" w:rsidRDefault="00FE28CD" w:rsidP="00FE28CD">
            <w:pPr>
              <w:pStyle w:val="TableCenterText"/>
              <w:jc w:val="right"/>
              <w:cnfStyle w:val="000000100000" w:firstRow="0" w:lastRow="0" w:firstColumn="0" w:lastColumn="0" w:oddVBand="0" w:evenVBand="0" w:oddHBand="1" w:evenHBand="0" w:firstRowFirstColumn="0" w:firstRowLastColumn="0" w:lastRowFirstColumn="0" w:lastRowLastColumn="0"/>
              <w:rPr>
                <w:color w:val="4A4D56"/>
                <w:sz w:val="18"/>
                <w:szCs w:val="18"/>
              </w:rPr>
            </w:pPr>
            <w:r w:rsidRPr="001F4B4F">
              <w:rPr>
                <w:rFonts w:cs="Arial"/>
                <w:color w:val="4A4D56"/>
              </w:rPr>
              <w:t>29.8</w:t>
            </w:r>
          </w:p>
        </w:tc>
      </w:tr>
      <w:tr w:rsidR="00562626" w14:paraId="13E12ACF" w14:textId="77777777" w:rsidTr="00FE28CD">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Borders>
              <w:right w:val="nil"/>
            </w:tcBorders>
            <w:shd w:val="clear" w:color="auto" w:fill="7E83C0" w:themeFill="accent4"/>
          </w:tcPr>
          <w:p w14:paraId="49868536" w14:textId="376EAD0F" w:rsidR="007948EE" w:rsidRPr="007948EE" w:rsidRDefault="007948EE" w:rsidP="007948EE">
            <w:pPr>
              <w:pStyle w:val="TableLeftText"/>
              <w:rPr>
                <w:rFonts w:ascii="Franklin Gothic Medium" w:hAnsi="Franklin Gothic Medium"/>
                <w:color w:val="FFFFFF" w:themeColor="background2"/>
                <w:sz w:val="18"/>
                <w:szCs w:val="18"/>
              </w:rPr>
            </w:pPr>
            <w:r>
              <w:rPr>
                <w:rFonts w:ascii="Franklin Gothic Medium" w:hAnsi="Franklin Gothic Medium"/>
                <w:color w:val="FFFFFF" w:themeColor="background2"/>
                <w:sz w:val="18"/>
                <w:szCs w:val="18"/>
              </w:rPr>
              <w:t>Eligible Emissions Limit</w:t>
            </w:r>
          </w:p>
        </w:tc>
        <w:tc>
          <w:tcPr>
            <w:tcW w:w="147" w:type="pct"/>
            <w:tcBorders>
              <w:left w:val="nil"/>
              <w:right w:val="nil"/>
            </w:tcBorders>
            <w:shd w:val="clear" w:color="auto" w:fill="7E83C0" w:themeFill="accent4"/>
          </w:tcPr>
          <w:p w14:paraId="48B14035" w14:textId="77351A76"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52F9180E" w14:textId="4B4519E0"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391CB305" w14:textId="34FE8DB4"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1D0C89CE" w14:textId="248EF860"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050F6627" w14:textId="1BDB4761"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3ACE9021" w14:textId="464E192C"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217C110A" w14:textId="3D288B05"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2FA67850" w14:textId="576A1715"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20625A13" w14:textId="1C04596C"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7826498A" w14:textId="6DE74113"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6FE02DA3" w14:textId="5BB8629F"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0643C5D2" w14:textId="4BAC5D2E"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7108C9A6" w14:textId="2E7F8B5F"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792CE6A1" w14:textId="6E12974C"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4A989C1C" w14:textId="5A432C01"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5BA9AE1E" w14:textId="5DFC03B2"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1789ADD6" w14:textId="28269BA2"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17DEA4AA" w14:textId="6C2D52C4"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535FD0E5" w14:textId="21CD1CE5"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1DDDB171" w14:textId="54DA420D"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5CED0421" w14:textId="5424C3CA"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0BC45C27" w14:textId="2177F8C6"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071008CE" w14:textId="128F75FC"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0D2E8900" w14:textId="24AE04EA"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4D4A8763" w14:textId="42FF399C"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3F38B842" w14:textId="5451DCC7"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7" w:type="pct"/>
            <w:tcBorders>
              <w:left w:val="nil"/>
              <w:right w:val="nil"/>
            </w:tcBorders>
            <w:shd w:val="clear" w:color="auto" w:fill="7E83C0" w:themeFill="accent4"/>
          </w:tcPr>
          <w:p w14:paraId="7E0186E7" w14:textId="638FA697"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c>
          <w:tcPr>
            <w:tcW w:w="148" w:type="pct"/>
            <w:tcBorders>
              <w:left w:val="nil"/>
            </w:tcBorders>
            <w:shd w:val="clear" w:color="auto" w:fill="7E83C0" w:themeFill="accent4"/>
          </w:tcPr>
          <w:p w14:paraId="1BA13E56" w14:textId="18F6E911" w:rsidR="007948EE" w:rsidRPr="007948EE" w:rsidRDefault="007948EE" w:rsidP="007948EE">
            <w:pPr>
              <w:pStyle w:val="TableCenterText"/>
              <w:jc w:val="right"/>
              <w:cnfStyle w:val="000000010000" w:firstRow="0" w:lastRow="0" w:firstColumn="0" w:lastColumn="0" w:oddVBand="0" w:evenVBand="0" w:oddHBand="0" w:evenHBand="1" w:firstRowFirstColumn="0" w:firstRowLastColumn="0" w:lastRowFirstColumn="0" w:lastRowLastColumn="0"/>
              <w:rPr>
                <w:rFonts w:ascii="Franklin Gothic Medium" w:hAnsi="Franklin Gothic Medium"/>
                <w:color w:val="FFFFFF" w:themeColor="background2"/>
                <w:sz w:val="18"/>
                <w:szCs w:val="18"/>
              </w:rPr>
            </w:pPr>
            <w:r w:rsidRPr="007948EE">
              <w:rPr>
                <w:rFonts w:ascii="Franklin Gothic Medium" w:hAnsi="Franklin Gothic Medium"/>
                <w:color w:val="FFFFFF" w:themeColor="background2"/>
                <w:sz w:val="18"/>
                <w:szCs w:val="18"/>
              </w:rPr>
              <w:t> </w:t>
            </w:r>
          </w:p>
        </w:tc>
      </w:tr>
      <w:tr w:rsidR="00562626" w14:paraId="3C42A797" w14:textId="77777777" w:rsidTr="007948EE">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883" w:type="pct"/>
          </w:tcPr>
          <w:p w14:paraId="5F68A07E" w14:textId="4E67BD25" w:rsidR="007948EE" w:rsidRPr="00336D07" w:rsidRDefault="007948EE" w:rsidP="007948EE">
            <w:pPr>
              <w:pStyle w:val="TableLeftText"/>
              <w:rPr>
                <w:sz w:val="18"/>
                <w:szCs w:val="18"/>
                <w:vertAlign w:val="superscript"/>
              </w:rPr>
            </w:pPr>
            <w:r>
              <w:rPr>
                <w:sz w:val="18"/>
                <w:szCs w:val="18"/>
              </w:rPr>
              <w:t>Eligible emissions limit (reference</w:t>
            </w:r>
            <w:r w:rsidR="00FE28CD">
              <w:rPr>
                <w:sz w:val="18"/>
                <w:szCs w:val="18"/>
              </w:rPr>
              <w:t xml:space="preserve"> </w:t>
            </w:r>
            <w:proofErr w:type="gramStart"/>
            <w:r w:rsidR="00FE28CD">
              <w:rPr>
                <w:sz w:val="18"/>
                <w:szCs w:val="18"/>
              </w:rPr>
              <w:t>value</w:t>
            </w:r>
            <w:r>
              <w:rPr>
                <w:sz w:val="18"/>
                <w:szCs w:val="18"/>
              </w:rPr>
              <w:t>)</w:t>
            </w:r>
            <w:r w:rsidR="00FE28CD">
              <w:rPr>
                <w:sz w:val="18"/>
                <w:szCs w:val="18"/>
                <w:vertAlign w:val="superscript"/>
              </w:rPr>
              <w:t>a</w:t>
            </w:r>
            <w:proofErr w:type="gramEnd"/>
          </w:p>
        </w:tc>
        <w:tc>
          <w:tcPr>
            <w:tcW w:w="147" w:type="pct"/>
            <w:shd w:val="clear" w:color="auto" w:fill="FFFFFF" w:themeFill="background1"/>
          </w:tcPr>
          <w:p w14:paraId="4BE1F58A" w14:textId="69D789EA"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N/A</w:t>
            </w:r>
          </w:p>
        </w:tc>
        <w:tc>
          <w:tcPr>
            <w:tcW w:w="147" w:type="pct"/>
            <w:shd w:val="clear" w:color="auto" w:fill="FFFFFF" w:themeFill="background1"/>
          </w:tcPr>
          <w:p w14:paraId="36957AF6" w14:textId="0C8828CA"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N/A</w:t>
            </w:r>
          </w:p>
        </w:tc>
        <w:tc>
          <w:tcPr>
            <w:tcW w:w="147" w:type="pct"/>
            <w:shd w:val="clear" w:color="auto" w:fill="FFFFFF" w:themeFill="background1"/>
          </w:tcPr>
          <w:p w14:paraId="1F9B0251" w14:textId="0DF27624"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66.8</w:t>
            </w:r>
          </w:p>
        </w:tc>
        <w:tc>
          <w:tcPr>
            <w:tcW w:w="147" w:type="pct"/>
            <w:shd w:val="clear" w:color="auto" w:fill="FFFFFF" w:themeFill="background1"/>
          </w:tcPr>
          <w:p w14:paraId="18B493D4" w14:textId="211A3C3B"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66.8</w:t>
            </w:r>
          </w:p>
        </w:tc>
        <w:tc>
          <w:tcPr>
            <w:tcW w:w="147" w:type="pct"/>
            <w:shd w:val="clear" w:color="auto" w:fill="FFFFFF" w:themeFill="background1"/>
          </w:tcPr>
          <w:p w14:paraId="6297DA8B" w14:textId="477A76C0"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66.8</w:t>
            </w:r>
          </w:p>
        </w:tc>
        <w:tc>
          <w:tcPr>
            <w:tcW w:w="147" w:type="pct"/>
            <w:shd w:val="clear" w:color="auto" w:fill="FFFFFF" w:themeFill="background1"/>
          </w:tcPr>
          <w:p w14:paraId="76A7FEFA" w14:textId="3BB31DEA"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66.8</w:t>
            </w:r>
          </w:p>
        </w:tc>
        <w:tc>
          <w:tcPr>
            <w:tcW w:w="147" w:type="pct"/>
            <w:shd w:val="clear" w:color="auto" w:fill="FFFFFF" w:themeFill="background1"/>
          </w:tcPr>
          <w:p w14:paraId="25EDC006" w14:textId="53D865FB"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66.8</w:t>
            </w:r>
          </w:p>
        </w:tc>
        <w:tc>
          <w:tcPr>
            <w:tcW w:w="147" w:type="pct"/>
            <w:shd w:val="clear" w:color="auto" w:fill="FFFFFF" w:themeFill="background1"/>
          </w:tcPr>
          <w:p w14:paraId="2CEC5BC1" w14:textId="7008F75F"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49.8</w:t>
            </w:r>
          </w:p>
        </w:tc>
        <w:tc>
          <w:tcPr>
            <w:tcW w:w="147" w:type="pct"/>
            <w:shd w:val="clear" w:color="auto" w:fill="FFFFFF" w:themeFill="background1"/>
          </w:tcPr>
          <w:p w14:paraId="0288D016" w14:textId="59B3C355"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49.8</w:t>
            </w:r>
          </w:p>
        </w:tc>
        <w:tc>
          <w:tcPr>
            <w:tcW w:w="147" w:type="pct"/>
            <w:shd w:val="clear" w:color="auto" w:fill="FFFFFF" w:themeFill="background1"/>
          </w:tcPr>
          <w:p w14:paraId="55A38EB8" w14:textId="63570C0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49.8</w:t>
            </w:r>
          </w:p>
        </w:tc>
        <w:tc>
          <w:tcPr>
            <w:tcW w:w="147" w:type="pct"/>
            <w:shd w:val="clear" w:color="auto" w:fill="FFFFFF" w:themeFill="background1"/>
          </w:tcPr>
          <w:p w14:paraId="7EA7018F" w14:textId="618A6B91"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49.8</w:t>
            </w:r>
          </w:p>
        </w:tc>
        <w:tc>
          <w:tcPr>
            <w:tcW w:w="147" w:type="pct"/>
            <w:shd w:val="clear" w:color="auto" w:fill="FFFFFF" w:themeFill="background1"/>
          </w:tcPr>
          <w:p w14:paraId="67F3BE30" w14:textId="35B6F0B8"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49.8</w:t>
            </w:r>
          </w:p>
        </w:tc>
        <w:tc>
          <w:tcPr>
            <w:tcW w:w="147" w:type="pct"/>
            <w:shd w:val="clear" w:color="auto" w:fill="FFFFFF" w:themeFill="background1"/>
          </w:tcPr>
          <w:p w14:paraId="0CD41F5E" w14:textId="4366261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49.7</w:t>
            </w:r>
          </w:p>
        </w:tc>
        <w:tc>
          <w:tcPr>
            <w:tcW w:w="147" w:type="pct"/>
            <w:shd w:val="clear" w:color="auto" w:fill="FFFFFF" w:themeFill="background1"/>
          </w:tcPr>
          <w:p w14:paraId="40C40A27" w14:textId="34BEFBB3"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49.7</w:t>
            </w:r>
          </w:p>
        </w:tc>
        <w:tc>
          <w:tcPr>
            <w:tcW w:w="147" w:type="pct"/>
            <w:shd w:val="clear" w:color="auto" w:fill="FFFFFF" w:themeFill="background1"/>
          </w:tcPr>
          <w:p w14:paraId="3BC64C11" w14:textId="0B7878C7"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49.7</w:t>
            </w:r>
          </w:p>
        </w:tc>
        <w:tc>
          <w:tcPr>
            <w:tcW w:w="147" w:type="pct"/>
            <w:shd w:val="clear" w:color="auto" w:fill="FFFFFF" w:themeFill="background1"/>
          </w:tcPr>
          <w:p w14:paraId="4160F01B" w14:textId="46CD5A9B"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49.7</w:t>
            </w:r>
          </w:p>
        </w:tc>
        <w:tc>
          <w:tcPr>
            <w:tcW w:w="147" w:type="pct"/>
            <w:shd w:val="clear" w:color="auto" w:fill="FFFFFF" w:themeFill="background1"/>
          </w:tcPr>
          <w:p w14:paraId="3EE82409" w14:textId="2943E374"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49.7</w:t>
            </w:r>
          </w:p>
        </w:tc>
        <w:tc>
          <w:tcPr>
            <w:tcW w:w="147" w:type="pct"/>
            <w:shd w:val="clear" w:color="auto" w:fill="FFFFFF" w:themeFill="background1"/>
          </w:tcPr>
          <w:p w14:paraId="6ABB3A25" w14:textId="535E3E28"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49.7</w:t>
            </w:r>
          </w:p>
        </w:tc>
        <w:tc>
          <w:tcPr>
            <w:tcW w:w="147" w:type="pct"/>
            <w:shd w:val="clear" w:color="auto" w:fill="FFFFFF" w:themeFill="background1"/>
          </w:tcPr>
          <w:p w14:paraId="2BB28538" w14:textId="0A09FA31"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49.7</w:t>
            </w:r>
          </w:p>
        </w:tc>
        <w:tc>
          <w:tcPr>
            <w:tcW w:w="147" w:type="pct"/>
            <w:shd w:val="clear" w:color="auto" w:fill="FFFFFF" w:themeFill="background1"/>
          </w:tcPr>
          <w:p w14:paraId="7AAD7EC5" w14:textId="32B04436"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49.7</w:t>
            </w:r>
          </w:p>
        </w:tc>
        <w:tc>
          <w:tcPr>
            <w:tcW w:w="147" w:type="pct"/>
            <w:shd w:val="clear" w:color="auto" w:fill="FFFFFF" w:themeFill="background1"/>
          </w:tcPr>
          <w:p w14:paraId="6CE54C11" w14:textId="39249F26"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49.7</w:t>
            </w:r>
          </w:p>
        </w:tc>
        <w:tc>
          <w:tcPr>
            <w:tcW w:w="147" w:type="pct"/>
            <w:shd w:val="clear" w:color="auto" w:fill="FFFFFF" w:themeFill="background1"/>
          </w:tcPr>
          <w:p w14:paraId="33A415CC" w14:textId="39A501B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49.7</w:t>
            </w:r>
          </w:p>
        </w:tc>
        <w:tc>
          <w:tcPr>
            <w:tcW w:w="147" w:type="pct"/>
            <w:shd w:val="clear" w:color="auto" w:fill="FFFFFF" w:themeFill="background1"/>
          </w:tcPr>
          <w:p w14:paraId="38E5030F" w14:textId="6F345C9E"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49.7</w:t>
            </w:r>
          </w:p>
        </w:tc>
        <w:tc>
          <w:tcPr>
            <w:tcW w:w="147" w:type="pct"/>
            <w:shd w:val="clear" w:color="auto" w:fill="FFFFFF" w:themeFill="background1"/>
          </w:tcPr>
          <w:p w14:paraId="44B32905" w14:textId="0397AD02"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49.7</w:t>
            </w:r>
          </w:p>
        </w:tc>
        <w:tc>
          <w:tcPr>
            <w:tcW w:w="147" w:type="pct"/>
            <w:shd w:val="clear" w:color="auto" w:fill="FFFFFF" w:themeFill="background1"/>
          </w:tcPr>
          <w:p w14:paraId="2839851A" w14:textId="39BAB2CD"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49.7</w:t>
            </w:r>
          </w:p>
        </w:tc>
        <w:tc>
          <w:tcPr>
            <w:tcW w:w="147" w:type="pct"/>
            <w:shd w:val="clear" w:color="auto" w:fill="FFFFFF" w:themeFill="background1"/>
          </w:tcPr>
          <w:p w14:paraId="41B3F995" w14:textId="66487560"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49.7</w:t>
            </w:r>
          </w:p>
        </w:tc>
        <w:tc>
          <w:tcPr>
            <w:tcW w:w="147" w:type="pct"/>
            <w:shd w:val="clear" w:color="auto" w:fill="FFFFFF" w:themeFill="background1"/>
          </w:tcPr>
          <w:p w14:paraId="307A9961" w14:textId="17E65F65"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49.7</w:t>
            </w:r>
          </w:p>
        </w:tc>
        <w:tc>
          <w:tcPr>
            <w:tcW w:w="148" w:type="pct"/>
            <w:shd w:val="clear" w:color="auto" w:fill="FFFFFF" w:themeFill="background1"/>
          </w:tcPr>
          <w:p w14:paraId="6A5AE651" w14:textId="5216B457" w:rsidR="007948EE" w:rsidRPr="001F4B4F" w:rsidRDefault="007948EE" w:rsidP="007948EE">
            <w:pPr>
              <w:pStyle w:val="TableCenterText"/>
              <w:jc w:val="right"/>
              <w:cnfStyle w:val="000000100000" w:firstRow="0" w:lastRow="0" w:firstColumn="0" w:lastColumn="0" w:oddVBand="0" w:evenVBand="0" w:oddHBand="1" w:evenHBand="0" w:firstRowFirstColumn="0" w:firstRowLastColumn="0" w:lastRowFirstColumn="0" w:lastRowLastColumn="0"/>
              <w:rPr>
                <w:rFonts w:cs="Arial"/>
                <w:color w:val="4A4D56"/>
              </w:rPr>
            </w:pPr>
            <w:r>
              <w:rPr>
                <w:rFonts w:cs="Arial"/>
                <w:color w:val="4A4D56"/>
              </w:rPr>
              <w:t>16.5</w:t>
            </w:r>
          </w:p>
        </w:tc>
      </w:tr>
    </w:tbl>
    <w:p w14:paraId="2331881A" w14:textId="4057A324" w:rsidR="00ED46AA" w:rsidRDefault="007948EE" w:rsidP="00336D07">
      <w:pPr>
        <w:contextualSpacing/>
        <w:rPr>
          <w:sz w:val="18"/>
          <w:szCs w:val="18"/>
        </w:rPr>
      </w:pPr>
      <w:r w:rsidRPr="007948EE">
        <w:rPr>
          <w:sz w:val="18"/>
          <w:szCs w:val="18"/>
        </w:rPr>
        <w:t>Note: Emissions rates are</w:t>
      </w:r>
      <w:r>
        <w:rPr>
          <w:sz w:val="18"/>
          <w:szCs w:val="18"/>
        </w:rPr>
        <w:t xml:space="preserve"> inclusive of both combustion and upstream emissions. For further information, please see the Excel workbook provided with this memo.</w:t>
      </w:r>
    </w:p>
    <w:p w14:paraId="7CF5196E" w14:textId="7DC23C2F" w:rsidR="00336D07" w:rsidRPr="00336D07" w:rsidRDefault="00FE28CD" w:rsidP="00336D07">
      <w:pPr>
        <w:contextualSpacing/>
        <w:rPr>
          <w:sz w:val="12"/>
          <w:szCs w:val="12"/>
        </w:rPr>
      </w:pPr>
      <w:r>
        <w:rPr>
          <w:sz w:val="18"/>
          <w:szCs w:val="18"/>
          <w:vertAlign w:val="superscript"/>
        </w:rPr>
        <w:t>a</w:t>
      </w:r>
      <w:r w:rsidR="00336D07">
        <w:rPr>
          <w:sz w:val="18"/>
          <w:szCs w:val="18"/>
        </w:rPr>
        <w:t xml:space="preserve"> Calc</w:t>
      </w:r>
      <w:r w:rsidR="00336D07" w:rsidRPr="00336D07">
        <w:rPr>
          <w:sz w:val="18"/>
          <w:szCs w:val="18"/>
        </w:rPr>
        <w:t>ulated in accordance with 30 V.S.A. § 8127(</w:t>
      </w:r>
      <w:r w:rsidR="00336D07">
        <w:rPr>
          <w:sz w:val="18"/>
          <w:szCs w:val="18"/>
        </w:rPr>
        <w:t>f).</w:t>
      </w:r>
    </w:p>
    <w:p w14:paraId="17BAE70C" w14:textId="4CFE460C" w:rsidR="00ED46AA" w:rsidRPr="00336D07" w:rsidRDefault="00336D07" w:rsidP="00455E81">
      <w:pPr>
        <w:contextualSpacing/>
        <w:rPr>
          <w:sz w:val="14"/>
          <w:szCs w:val="14"/>
        </w:rPr>
      </w:pPr>
      <w:r w:rsidRPr="00336D07">
        <w:rPr>
          <w:rFonts w:cs="Arial"/>
          <w:color w:val="4A4D56"/>
          <w:sz w:val="18"/>
          <w:szCs w:val="18"/>
          <w:vertAlign w:val="superscript"/>
        </w:rPr>
        <w:t>†</w:t>
      </w:r>
      <w:r w:rsidRPr="00336D07">
        <w:rPr>
          <w:rFonts w:cs="Arial"/>
          <w:color w:val="4A4D56"/>
          <w:sz w:val="18"/>
          <w:szCs w:val="18"/>
        </w:rPr>
        <w:t xml:space="preserve"> As currently analyzed, </w:t>
      </w:r>
      <w:r>
        <w:rPr>
          <w:rFonts w:cs="Arial"/>
          <w:color w:val="4A4D56"/>
          <w:sz w:val="18"/>
          <w:szCs w:val="18"/>
        </w:rPr>
        <w:t xml:space="preserve">these liquid or gaseous fuels exceed the carbon intensity values as defined in </w:t>
      </w:r>
      <w:r w:rsidRPr="00336D07">
        <w:rPr>
          <w:sz w:val="18"/>
          <w:szCs w:val="18"/>
        </w:rPr>
        <w:t>30 V.S.A. § 8127(</w:t>
      </w:r>
      <w:r>
        <w:rPr>
          <w:sz w:val="18"/>
          <w:szCs w:val="18"/>
        </w:rPr>
        <w:t xml:space="preserve">f) and therefore would be nominally ineligible as clean heat measures beginning January 1, 2050, notwithstanding the provisions stated in </w:t>
      </w:r>
      <w:r w:rsidRPr="00336D07">
        <w:rPr>
          <w:sz w:val="18"/>
          <w:szCs w:val="18"/>
        </w:rPr>
        <w:t>30 V.S.A. § 8127(</w:t>
      </w:r>
      <w:r>
        <w:rPr>
          <w:sz w:val="18"/>
          <w:szCs w:val="18"/>
        </w:rPr>
        <w:t>f)(1)(C).</w:t>
      </w:r>
    </w:p>
    <w:p w14:paraId="641705DF" w14:textId="77777777" w:rsidR="00ED46AA" w:rsidRDefault="00ED46AA" w:rsidP="00455E81">
      <w:pPr>
        <w:sectPr w:rsidR="00ED46AA" w:rsidSect="00ED46AA">
          <w:headerReference w:type="default" r:id="rId13"/>
          <w:footerReference w:type="default" r:id="rId14"/>
          <w:type w:val="continuous"/>
          <w:pgSz w:w="24494" w:h="15819" w:orient="landscape" w:code="8"/>
          <w:pgMar w:top="567" w:right="567" w:bottom="567" w:left="567" w:header="567" w:footer="340" w:gutter="0"/>
          <w:cols w:space="708"/>
          <w:docGrid w:linePitch="360"/>
        </w:sectPr>
      </w:pPr>
    </w:p>
    <w:p w14:paraId="7D4EB7FC" w14:textId="77777777" w:rsidR="00413135" w:rsidRDefault="00413135" w:rsidP="00413135">
      <w:pPr>
        <w:pStyle w:val="Heading1"/>
        <w:rPr>
          <w:sz w:val="32"/>
          <w:szCs w:val="32"/>
        </w:rPr>
      </w:pPr>
      <w:r w:rsidRPr="00413135">
        <w:rPr>
          <w:sz w:val="32"/>
          <w:szCs w:val="32"/>
        </w:rPr>
        <w:lastRenderedPageBreak/>
        <w:t>Methodology</w:t>
      </w:r>
    </w:p>
    <w:p w14:paraId="6E99E3AA" w14:textId="33031DA3" w:rsidR="004F54DB" w:rsidRDefault="00D26DF1" w:rsidP="00D26DF1">
      <w:r>
        <w:t>The emissions rate schedule presented in this document characterizes carbon dioxide (CO</w:t>
      </w:r>
      <w:r>
        <w:rPr>
          <w:vertAlign w:val="subscript"/>
        </w:rPr>
        <w:t>2</w:t>
      </w:r>
      <w:r>
        <w:t>), methane (CH</w:t>
      </w:r>
      <w:r>
        <w:rPr>
          <w:vertAlign w:val="subscript"/>
        </w:rPr>
        <w:t>4</w:t>
      </w:r>
      <w:r>
        <w:t>), and nitrous oxide (N</w:t>
      </w:r>
      <w:r>
        <w:rPr>
          <w:vertAlign w:val="subscript"/>
        </w:rPr>
        <w:t>2</w:t>
      </w:r>
      <w:r>
        <w:t xml:space="preserve">O) emissions for fuels. </w:t>
      </w:r>
      <w:r w:rsidRPr="00D26DF1">
        <w:t>Emissions of CH</w:t>
      </w:r>
      <w:r w:rsidRPr="00D26DF1">
        <w:rPr>
          <w:vertAlign w:val="subscript"/>
        </w:rPr>
        <w:t>4</w:t>
      </w:r>
      <w:r w:rsidRPr="00D26DF1">
        <w:t xml:space="preserve"> and N</w:t>
      </w:r>
      <w:r w:rsidRPr="00D26DF1">
        <w:rPr>
          <w:vertAlign w:val="subscript"/>
        </w:rPr>
        <w:t>2</w:t>
      </w:r>
      <w:r w:rsidRPr="00D26DF1">
        <w:t>O were converted to CO</w:t>
      </w:r>
      <w:r w:rsidRPr="00D26DF1">
        <w:rPr>
          <w:vertAlign w:val="subscript"/>
        </w:rPr>
        <w:t>2</w:t>
      </w:r>
      <w:r w:rsidRPr="00D26DF1">
        <w:t>e using 100-year global warming potential (GWP) factors produced by the Intergovernmental Panel on Climate Change (IPCC)</w:t>
      </w:r>
      <w:r w:rsidR="00D77437">
        <w:t xml:space="preserve"> </w:t>
      </w:r>
      <w:r w:rsidR="00D77437" w:rsidRPr="00D77437">
        <w:t>Fifth Assessment Report, 2014 (AR5)</w:t>
      </w:r>
      <w:r w:rsidRPr="00D26DF1">
        <w:t>.</w:t>
      </w:r>
      <w:r>
        <w:rPr>
          <w:rStyle w:val="FootnoteReference"/>
        </w:rPr>
        <w:footnoteReference w:id="12"/>
      </w:r>
      <w:r w:rsidRPr="00D26DF1">
        <w:t xml:space="preserve"> </w:t>
      </w:r>
      <w:r>
        <w:t>Emissions</w:t>
      </w:r>
      <w:r w:rsidRPr="00413135">
        <w:t xml:space="preserve"> are converted to emission</w:t>
      </w:r>
      <w:r w:rsidR="00C6101B">
        <w:t>s</w:t>
      </w:r>
      <w:r w:rsidRPr="00413135">
        <w:t xml:space="preserve"> rates based on the volume of energy that is generated by an </w:t>
      </w:r>
      <w:r>
        <w:t>electricity generating unit (EGU)</w:t>
      </w:r>
      <w:r w:rsidRPr="00413135">
        <w:t xml:space="preserve"> or delivered to a delivery agent (e.g. VGS or a fuel wholesaler); e.g., gram of CO</w:t>
      </w:r>
      <w:r w:rsidRPr="00413135">
        <w:rPr>
          <w:vertAlign w:val="subscript"/>
        </w:rPr>
        <w:t>2</w:t>
      </w:r>
      <w:r w:rsidRPr="00413135">
        <w:t>e per megajoule (CO</w:t>
      </w:r>
      <w:r w:rsidRPr="00413135">
        <w:rPr>
          <w:vertAlign w:val="subscript"/>
        </w:rPr>
        <w:t>2</w:t>
      </w:r>
      <w:r w:rsidRPr="00413135">
        <w:t>e/MJ) of electricity generated.</w:t>
      </w:r>
    </w:p>
    <w:p w14:paraId="588BAC2B" w14:textId="190BFF32" w:rsidR="00D26DF1" w:rsidRPr="00D26DF1" w:rsidRDefault="00D26DF1" w:rsidP="004F54DB">
      <w:r>
        <w:t xml:space="preserve">Our emissions rate schedule, in line with the requirements of Act 18, reflects both </w:t>
      </w:r>
      <w:r w:rsidRPr="004F54DB">
        <w:rPr>
          <w:b/>
          <w:bCs/>
        </w:rPr>
        <w:t>upstream</w:t>
      </w:r>
      <w:r>
        <w:t xml:space="preserve"> and</w:t>
      </w:r>
      <w:r w:rsidRPr="004F54DB">
        <w:rPr>
          <w:b/>
          <w:bCs/>
        </w:rPr>
        <w:t xml:space="preserve"> combustion </w:t>
      </w:r>
      <w:r>
        <w:t>emissions of the greenhouse gases (GHGs) detailed above.</w:t>
      </w:r>
    </w:p>
    <w:p w14:paraId="5477F92C" w14:textId="77777777" w:rsidR="004F54DB" w:rsidRDefault="00413135" w:rsidP="004F54DB">
      <w:pPr>
        <w:pStyle w:val="ListBullet"/>
      </w:pPr>
      <w:r w:rsidRPr="004F54DB">
        <w:rPr>
          <w:b/>
          <w:bCs/>
        </w:rPr>
        <w:t>Upstream</w:t>
      </w:r>
      <w:r w:rsidRPr="00413135">
        <w:t xml:space="preserve"> emissions reflect the volume of GHG releases resulting from activities occurring during the upstream lifecycle phase of a fuel, such as resource extraction, feedstock processing, fuel production, and transportation to distributors or electricity generation units (EGU). </w:t>
      </w:r>
    </w:p>
    <w:p w14:paraId="7FE4A000" w14:textId="77777777" w:rsidR="004F54DB" w:rsidRDefault="00413135" w:rsidP="004F54DB">
      <w:pPr>
        <w:pStyle w:val="ListBullet"/>
      </w:pPr>
      <w:r w:rsidRPr="004F54DB">
        <w:rPr>
          <w:b/>
          <w:bCs/>
        </w:rPr>
        <w:t>Combustion</w:t>
      </w:r>
      <w:r w:rsidRPr="00413135">
        <w:t xml:space="preserve"> emissions reflect the volume of GHG emissions that are released at the time of combustion of a fuel, such as an EGU burning coal to generate electricity or from combustion of fossil fuels in forced-air furnaces. </w:t>
      </w:r>
    </w:p>
    <w:p w14:paraId="6627B899" w14:textId="77777777" w:rsidR="00D26DF1" w:rsidRDefault="00D26DF1" w:rsidP="00413135">
      <w:r>
        <w:t>Summing these emissions rates produces a lifecycle emissions rate for the fuel being studied.</w:t>
      </w:r>
    </w:p>
    <w:p w14:paraId="1043E89B" w14:textId="3BCDD447" w:rsidR="00413135" w:rsidRPr="00413135" w:rsidRDefault="00413135" w:rsidP="00413135">
      <w:r w:rsidRPr="00413135">
        <w:t>The following sections detail</w:t>
      </w:r>
      <w:r w:rsidR="001324CD">
        <w:t xml:space="preserve"> the</w:t>
      </w:r>
      <w:r w:rsidRPr="00413135">
        <w:t xml:space="preserve"> methodology </w:t>
      </w:r>
      <w:r w:rsidR="00494092">
        <w:t xml:space="preserve">we used in </w:t>
      </w:r>
      <w:r w:rsidRPr="00413135">
        <w:t>estimating upstream and combustion emission</w:t>
      </w:r>
      <w:r w:rsidR="00D26DF1">
        <w:t>s rates</w:t>
      </w:r>
      <w:r w:rsidRPr="00413135">
        <w:t xml:space="preserve">. </w:t>
      </w:r>
      <w:r>
        <w:t>Grid electricity</w:t>
      </w:r>
      <w:r w:rsidR="001324CD">
        <w:t>, liquid/gaseous fuels,</w:t>
      </w:r>
      <w:r w:rsidR="00494092">
        <w:t xml:space="preserve"> and wood fuels </w:t>
      </w:r>
      <w:r w:rsidR="001324CD">
        <w:t>use</w:t>
      </w:r>
      <w:r w:rsidRPr="00413135">
        <w:t xml:space="preserve"> </w:t>
      </w:r>
      <w:r w:rsidR="00D26DF1">
        <w:t xml:space="preserve">somewhat </w:t>
      </w:r>
      <w:r w:rsidRPr="00413135">
        <w:t>differen</w:t>
      </w:r>
      <w:r w:rsidR="001324CD">
        <w:t>t methodologies. Further detail</w:t>
      </w:r>
      <w:r w:rsidR="00D26DF1">
        <w:t>s</w:t>
      </w:r>
      <w:r w:rsidR="001324CD">
        <w:t xml:space="preserve"> on the methodology we </w:t>
      </w:r>
      <w:proofErr w:type="gramStart"/>
      <w:r w:rsidR="001324CD">
        <w:t>used</w:t>
      </w:r>
      <w:proofErr w:type="gramEnd"/>
      <w:r w:rsidR="001324CD">
        <w:t xml:space="preserve"> and our underlying analytical files </w:t>
      </w:r>
      <w:r w:rsidR="00D26DF1">
        <w:t>are</w:t>
      </w:r>
      <w:r w:rsidR="001324CD">
        <w:t xml:space="preserve"> available on request.</w:t>
      </w:r>
    </w:p>
    <w:p w14:paraId="070D0200" w14:textId="06DBE204" w:rsidR="00D26DF1" w:rsidRDefault="00494092" w:rsidP="00D26DF1">
      <w:pPr>
        <w:pStyle w:val="Heading2"/>
        <w:rPr>
          <w:sz w:val="32"/>
          <w:szCs w:val="32"/>
        </w:rPr>
      </w:pPr>
      <w:r>
        <w:rPr>
          <w:sz w:val="32"/>
          <w:szCs w:val="32"/>
        </w:rPr>
        <w:t>Emissions Rate for Grid Electricity</w:t>
      </w:r>
    </w:p>
    <w:p w14:paraId="4DEF5161" w14:textId="1C6554F4" w:rsidR="0025719A" w:rsidRDefault="00D26DF1" w:rsidP="00D26DF1">
      <w:r>
        <w:t>We</w:t>
      </w:r>
      <w:r w:rsidRPr="00504E40">
        <w:t xml:space="preserve"> developed </w:t>
      </w:r>
      <w:r>
        <w:t>a</w:t>
      </w:r>
      <w:r w:rsidR="0025719A">
        <w:t xml:space="preserve"> Vermont-specific lifecycle average</w:t>
      </w:r>
      <w:r>
        <w:t xml:space="preserve"> emissions rate for g</w:t>
      </w:r>
      <w:r w:rsidRPr="00504E40">
        <w:t>rid electricity</w:t>
      </w:r>
      <w:r w:rsidR="0025719A">
        <w:t>. To develop this emissions rate, we took the following steps:</w:t>
      </w:r>
    </w:p>
    <w:p w14:paraId="3F5C1237" w14:textId="77777777" w:rsidR="0025719A" w:rsidRDefault="0025719A" w:rsidP="0025719A">
      <w:pPr>
        <w:pStyle w:val="ListParagraph"/>
        <w:numPr>
          <w:ilvl w:val="0"/>
          <w:numId w:val="19"/>
        </w:numPr>
      </w:pPr>
      <w:r>
        <w:t xml:space="preserve">We first developed a projected resource mix by year for the Vermont electric grid from 2025 through 2050. </w:t>
      </w:r>
    </w:p>
    <w:p w14:paraId="13BBABE6" w14:textId="46EF3553" w:rsidR="0025719A" w:rsidRDefault="0025719A" w:rsidP="0025719A">
      <w:pPr>
        <w:pStyle w:val="ListParagraph"/>
        <w:numPr>
          <w:ilvl w:val="1"/>
          <w:numId w:val="19"/>
        </w:numPr>
      </w:pPr>
      <w:r>
        <w:t>This resource mix assumes a starting resource mix as reflected in the V</w:t>
      </w:r>
      <w:r w:rsidRPr="0025719A">
        <w:t>ermont Energy Sector Life Cycle Assessment report</w:t>
      </w:r>
      <w:r>
        <w:t>.</w:t>
      </w:r>
      <w:r w:rsidR="00D101AA">
        <w:rPr>
          <w:rStyle w:val="FootnoteReference"/>
        </w:rPr>
        <w:footnoteReference w:id="13"/>
      </w:r>
    </w:p>
    <w:p w14:paraId="637D0F7F" w14:textId="59AEDEFF" w:rsidR="0025719A" w:rsidRDefault="0025719A" w:rsidP="0025719A">
      <w:pPr>
        <w:pStyle w:val="ListParagraph"/>
        <w:numPr>
          <w:ilvl w:val="1"/>
          <w:numId w:val="19"/>
        </w:numPr>
      </w:pPr>
      <w:r>
        <w:t>This resource mix assumes that by 2035, Vermont’s resource mix will be 100% renewable per the Vermont Renewable Energy Standard (RES).</w:t>
      </w:r>
      <w:r>
        <w:rPr>
          <w:rStyle w:val="FootnoteReference"/>
        </w:rPr>
        <w:footnoteReference w:id="14"/>
      </w:r>
      <w:r>
        <w:t xml:space="preserve"> To forecast the mix of the renewable resources that will make up this 100% renewable grid in 2035, we used an analysis conducted by Sustainable Energy Advantage on behalf of the Vermont Department of Public Service.</w:t>
      </w:r>
      <w:r>
        <w:rPr>
          <w:rStyle w:val="FootnoteReference"/>
        </w:rPr>
        <w:footnoteReference w:id="15"/>
      </w:r>
    </w:p>
    <w:p w14:paraId="35AF46D8" w14:textId="2576E176" w:rsidR="0025719A" w:rsidRDefault="0025719A" w:rsidP="0025719A">
      <w:pPr>
        <w:pStyle w:val="ListParagraph"/>
        <w:numPr>
          <w:ilvl w:val="1"/>
          <w:numId w:val="19"/>
        </w:numPr>
      </w:pPr>
      <w:r>
        <w:t>We then interpolated the starting resource mix and the 2035 100% renewability benchmark to develop a year-over-year projection of the Vermont electric grid resource mix.</w:t>
      </w:r>
    </w:p>
    <w:p w14:paraId="0A7B8716" w14:textId="0D17C048" w:rsidR="0025719A" w:rsidRDefault="00D101AA" w:rsidP="0025719A">
      <w:pPr>
        <w:pStyle w:val="ListParagraph"/>
        <w:numPr>
          <w:ilvl w:val="1"/>
          <w:numId w:val="19"/>
        </w:numPr>
      </w:pPr>
      <w:r>
        <w:t>After 2035, we hold the projected resource mix constant.</w:t>
      </w:r>
    </w:p>
    <w:p w14:paraId="7DE3B591" w14:textId="23AC16BB" w:rsidR="00D101AA" w:rsidRDefault="00D101AA" w:rsidP="00D101AA">
      <w:pPr>
        <w:pStyle w:val="ListParagraph"/>
        <w:numPr>
          <w:ilvl w:val="0"/>
          <w:numId w:val="19"/>
        </w:numPr>
      </w:pPr>
      <w:r>
        <w:t xml:space="preserve">We then apply emissions </w:t>
      </w:r>
      <w:r w:rsidR="00C6101B">
        <w:t>rates</w:t>
      </w:r>
      <w:r>
        <w:t xml:space="preserve"> to the resource mix to estimate combined grid electricity emissions.</w:t>
      </w:r>
    </w:p>
    <w:p w14:paraId="27DE573E" w14:textId="1644C5D4" w:rsidR="00D101AA" w:rsidRDefault="00D101AA" w:rsidP="00D101AA">
      <w:pPr>
        <w:pStyle w:val="ListParagraph"/>
        <w:numPr>
          <w:ilvl w:val="1"/>
          <w:numId w:val="19"/>
        </w:numPr>
      </w:pPr>
      <w:r>
        <w:t xml:space="preserve">Combustion emissions </w:t>
      </w:r>
      <w:r w:rsidR="00C6101B">
        <w:t>rates</w:t>
      </w:r>
      <w:r>
        <w:t xml:space="preserve"> come from the </w:t>
      </w:r>
      <w:r w:rsidRPr="00D101AA">
        <w:t>U.S. EPA Emission Factors Hub</w:t>
      </w:r>
      <w:r>
        <w:t>, corrected for average EGU combustion efficiencies using average plant efficiency factors.</w:t>
      </w:r>
    </w:p>
    <w:p w14:paraId="535161F9" w14:textId="7ED71A36" w:rsidR="0025719A" w:rsidRDefault="00D101AA" w:rsidP="00D26DF1">
      <w:pPr>
        <w:pStyle w:val="ListParagraph"/>
        <w:numPr>
          <w:ilvl w:val="1"/>
          <w:numId w:val="19"/>
        </w:numPr>
      </w:pPr>
      <w:r>
        <w:lastRenderedPageBreak/>
        <w:t xml:space="preserve">Upstream emissions </w:t>
      </w:r>
      <w:r w:rsidR="00C6101B">
        <w:t>rates</w:t>
      </w:r>
      <w:r>
        <w:t xml:space="preserve"> come from Opinion Dynamics analysis using GREET1 2023</w:t>
      </w:r>
      <w:r w:rsidR="00D77437">
        <w:t>rev1</w:t>
      </w:r>
      <w:r>
        <w:t>, following the same approach as used in the V</w:t>
      </w:r>
      <w:r w:rsidRPr="0025719A">
        <w:t>ermont Energy Sector Life Cycle Assessment report</w:t>
      </w:r>
      <w:r>
        <w:t>.</w:t>
      </w:r>
      <w:r>
        <w:rPr>
          <w:rStyle w:val="FootnoteReference"/>
        </w:rPr>
        <w:footnoteReference w:id="16"/>
      </w:r>
    </w:p>
    <w:p w14:paraId="26D3EC80" w14:textId="491EFE51" w:rsidR="00D101AA" w:rsidRDefault="00D101AA" w:rsidP="0025719A">
      <w:r>
        <w:t xml:space="preserve">This approach produces a Vermont-specific average grid electricity lifecycle emissions rate that reflects Vermont policy. </w:t>
      </w:r>
      <w:r w:rsidRPr="00D101AA">
        <w:t>We applied the annual average electric resource mix instead of the long-run marginal resource mix</w:t>
      </w:r>
      <w:r>
        <w:t xml:space="preserve"> for several </w:t>
      </w:r>
      <w:proofErr w:type="gramStart"/>
      <w:r>
        <w:t>reasons;</w:t>
      </w:r>
      <w:proofErr w:type="gramEnd"/>
      <w:r>
        <w:t xml:space="preserve"> most notably l</w:t>
      </w:r>
      <w:r w:rsidRPr="00D101AA">
        <w:t>imited data and an inability to combine existing datasets due to differences in geography (e.g., New England vs. V</w:t>
      </w:r>
      <w:r>
        <w:t>ermont</w:t>
      </w:r>
      <w:r w:rsidRPr="00D101AA">
        <w:t>) and grid perspectives (e.g., long-run marginal vs. average mixes)</w:t>
      </w:r>
      <w:r>
        <w:t xml:space="preserve"> while reflecting the Vermont RES. We deemed approaches that attempted to estimate a marginal emissions rate while reflecting these characteristics to be internally inconsistent. We look forward to feedback from the Commission and the TAG on this approach and discussion around how we may be able to refine it moving forward.</w:t>
      </w:r>
    </w:p>
    <w:p w14:paraId="6F1B9C3C" w14:textId="4E7ECC61" w:rsidR="00504E40" w:rsidRPr="00494092" w:rsidRDefault="00504E40" w:rsidP="00494092">
      <w:r>
        <w:t xml:space="preserve">The underlying </w:t>
      </w:r>
      <w:r w:rsidR="00D101AA">
        <w:t>figures in this analysis as well as additional analytical detail</w:t>
      </w:r>
      <w:r>
        <w:t xml:space="preserve"> have been provided previously to the Commission and TAG in a file denoted “Electric Grid Emission </w:t>
      </w:r>
      <w:proofErr w:type="spellStart"/>
      <w:r>
        <w:t>Rates_Revised</w:t>
      </w:r>
      <w:proofErr w:type="spellEnd"/>
      <w:r>
        <w:t xml:space="preserve"> Approach.xlsx”</w:t>
      </w:r>
      <w:r w:rsidR="00D101AA">
        <w:t xml:space="preserve"> and are circulated again with this memo.</w:t>
      </w:r>
    </w:p>
    <w:p w14:paraId="68F13A43" w14:textId="2DFDAE08" w:rsidR="001324CD" w:rsidRPr="001324CD" w:rsidRDefault="001324CD" w:rsidP="001324CD">
      <w:pPr>
        <w:pStyle w:val="Heading3"/>
        <w:rPr>
          <w:sz w:val="32"/>
          <w:szCs w:val="32"/>
        </w:rPr>
      </w:pPr>
      <w:r>
        <w:rPr>
          <w:sz w:val="32"/>
          <w:szCs w:val="32"/>
        </w:rPr>
        <w:t xml:space="preserve">Transmission and Distribution </w:t>
      </w:r>
      <w:r w:rsidRPr="001324CD">
        <w:rPr>
          <w:sz w:val="32"/>
          <w:szCs w:val="32"/>
        </w:rPr>
        <w:t>Losses</w:t>
      </w:r>
    </w:p>
    <w:p w14:paraId="4FEBBAD2" w14:textId="6BC8C3FD" w:rsidR="001324CD" w:rsidRPr="001324CD" w:rsidRDefault="001324CD" w:rsidP="001324CD">
      <w:r>
        <w:t xml:space="preserve">The emissions rate for grid electricity presented in this memo does not account for electric transmission and distribution losses. </w:t>
      </w:r>
      <w:r w:rsidR="00D101AA">
        <w:t>However, t</w:t>
      </w:r>
      <w:r>
        <w:t xml:space="preserve">hese losses </w:t>
      </w:r>
      <w:r w:rsidR="00D101AA">
        <w:t xml:space="preserve">do </w:t>
      </w:r>
      <w:r>
        <w:t xml:space="preserve">need to be accounted for in CHS emissions accounting to accurately reflect emissions changes associated with measures that use grid electricity. We intend to provide separate transmission and distribution loss factors in the CHS </w:t>
      </w:r>
      <w:r w:rsidR="00812719">
        <w:t>Technical Reference Manual (TRM)</w:t>
      </w:r>
      <w:r>
        <w:t xml:space="preserve"> that are to be applied in the decarbonization measure calculations for each measure using grid electricity. </w:t>
      </w:r>
      <w:r w:rsidR="00504E40">
        <w:t>Alternatively, we could choose to produce an emissions rate for grid electricity that adjusts the currently presented emissions rate to reflect these additional losses.</w:t>
      </w:r>
    </w:p>
    <w:p w14:paraId="46C2AACA" w14:textId="6B7EBA48" w:rsidR="001324CD" w:rsidRDefault="001324CD" w:rsidP="001324CD">
      <w:pPr>
        <w:pStyle w:val="Heading2"/>
        <w:rPr>
          <w:sz w:val="32"/>
          <w:szCs w:val="32"/>
        </w:rPr>
      </w:pPr>
      <w:r>
        <w:rPr>
          <w:sz w:val="32"/>
          <w:szCs w:val="32"/>
        </w:rPr>
        <w:t>Emissions Rate</w:t>
      </w:r>
      <w:r w:rsidR="00FE28CD">
        <w:rPr>
          <w:sz w:val="32"/>
          <w:szCs w:val="32"/>
        </w:rPr>
        <w:t>s</w:t>
      </w:r>
      <w:r>
        <w:rPr>
          <w:sz w:val="32"/>
          <w:szCs w:val="32"/>
        </w:rPr>
        <w:t xml:space="preserve"> for Liquid</w:t>
      </w:r>
      <w:r w:rsidR="00D30AE8">
        <w:rPr>
          <w:sz w:val="32"/>
          <w:szCs w:val="32"/>
        </w:rPr>
        <w:t xml:space="preserve"> and </w:t>
      </w:r>
      <w:r>
        <w:rPr>
          <w:sz w:val="32"/>
          <w:szCs w:val="32"/>
        </w:rPr>
        <w:t>Gaseous Fuels</w:t>
      </w:r>
    </w:p>
    <w:p w14:paraId="3E455E5F" w14:textId="4E4DF1BD" w:rsidR="00D30AE8" w:rsidRPr="00D30AE8" w:rsidRDefault="00D30AE8" w:rsidP="00D30AE8">
      <w:r>
        <w:t>Upstream emissions for liquid and gaseous fuels were developed using GREET1 2023</w:t>
      </w:r>
      <w:r w:rsidR="00D77437">
        <w:t>rev1</w:t>
      </w:r>
      <w:r>
        <w:t>, following a similar analytic</w:t>
      </w:r>
      <w:r w:rsidR="00C169B5">
        <w:t>al</w:t>
      </w:r>
      <w:r>
        <w:t xml:space="preserve"> framework as used in the V</w:t>
      </w:r>
      <w:r w:rsidRPr="0025719A">
        <w:t>ermont Energy Sector Life Cycle Assessment report</w:t>
      </w:r>
      <w:r>
        <w:t>.</w:t>
      </w:r>
      <w:r>
        <w:rPr>
          <w:rStyle w:val="FootnoteReference"/>
        </w:rPr>
        <w:footnoteReference w:id="17"/>
      </w:r>
      <w:r w:rsidR="00CB7BD7">
        <w:t xml:space="preserve"> </w:t>
      </w:r>
    </w:p>
    <w:p w14:paraId="105822B5" w14:textId="120433E5" w:rsidR="00A13522" w:rsidRDefault="00D30AE8" w:rsidP="00290861">
      <w:r>
        <w:t xml:space="preserve">Combustion emissions were estimated using combustion emissions </w:t>
      </w:r>
      <w:r w:rsidR="00C6101B">
        <w:t>rates</w:t>
      </w:r>
      <w:r>
        <w:t xml:space="preserve"> for </w:t>
      </w:r>
      <w:r w:rsidRPr="00D30AE8">
        <w:t>CO</w:t>
      </w:r>
      <w:r w:rsidRPr="00D30AE8">
        <w:rPr>
          <w:vertAlign w:val="subscript"/>
        </w:rPr>
        <w:t>2</w:t>
      </w:r>
      <w:r w:rsidRPr="00D30AE8">
        <w:t>, CH</w:t>
      </w:r>
      <w:r w:rsidRPr="00D30AE8">
        <w:rPr>
          <w:vertAlign w:val="subscript"/>
        </w:rPr>
        <w:t>4</w:t>
      </w:r>
      <w:r w:rsidRPr="00D30AE8">
        <w:t>, and N</w:t>
      </w:r>
      <w:r w:rsidRPr="00D30AE8">
        <w:rPr>
          <w:vertAlign w:val="subscript"/>
        </w:rPr>
        <w:t>2</w:t>
      </w:r>
      <w:r w:rsidRPr="00D30AE8">
        <w:t>O from</w:t>
      </w:r>
      <w:r>
        <w:t xml:space="preserve"> the</w:t>
      </w:r>
      <w:r w:rsidRPr="00D30AE8">
        <w:t xml:space="preserve"> U.S. EPA Emission Factors Hub</w:t>
      </w:r>
      <w:r>
        <w:t>.</w:t>
      </w:r>
      <w:r>
        <w:rPr>
          <w:rStyle w:val="FootnoteReference"/>
        </w:rPr>
        <w:footnoteReference w:id="18"/>
      </w:r>
      <w:r>
        <w:t xml:space="preserve"> Note that combustion of hydrogen does not produce </w:t>
      </w:r>
      <w:r w:rsidRPr="00D30AE8">
        <w:t>CO</w:t>
      </w:r>
      <w:r w:rsidRPr="00D30AE8">
        <w:rPr>
          <w:vertAlign w:val="subscript"/>
        </w:rPr>
        <w:t>2</w:t>
      </w:r>
      <w:r w:rsidRPr="00D30AE8">
        <w:t>, CH</w:t>
      </w:r>
      <w:r w:rsidRPr="00D30AE8">
        <w:rPr>
          <w:vertAlign w:val="subscript"/>
        </w:rPr>
        <w:t>4</w:t>
      </w:r>
      <w:r w:rsidRPr="00D30AE8">
        <w:t xml:space="preserve">, </w:t>
      </w:r>
      <w:r>
        <w:t>or</w:t>
      </w:r>
      <w:r w:rsidRPr="00D30AE8">
        <w:t xml:space="preserve"> N</w:t>
      </w:r>
      <w:r w:rsidRPr="00D30AE8">
        <w:rPr>
          <w:vertAlign w:val="subscript"/>
        </w:rPr>
        <w:t>2</w:t>
      </w:r>
      <w:r w:rsidRPr="00D30AE8">
        <w:t>O</w:t>
      </w:r>
      <w:r>
        <w:t xml:space="preserve"> and therefore combustion emissions for hydrogen were set to zero.</w:t>
      </w:r>
    </w:p>
    <w:p w14:paraId="0A33B0E7" w14:textId="7EF661CB" w:rsidR="00D30AE8" w:rsidRDefault="00D30AE8" w:rsidP="00D30AE8">
      <w:pPr>
        <w:pStyle w:val="Heading3"/>
        <w:rPr>
          <w:sz w:val="32"/>
          <w:szCs w:val="32"/>
        </w:rPr>
      </w:pPr>
      <w:r>
        <w:rPr>
          <w:sz w:val="32"/>
          <w:szCs w:val="32"/>
        </w:rPr>
        <w:t>Treatment of Biogenic Carbon</w:t>
      </w:r>
      <w:r w:rsidR="00FE27DD">
        <w:rPr>
          <w:sz w:val="32"/>
          <w:szCs w:val="32"/>
        </w:rPr>
        <w:t xml:space="preserve"> </w:t>
      </w:r>
      <w:r w:rsidR="00CD7FE7">
        <w:rPr>
          <w:sz w:val="32"/>
          <w:szCs w:val="32"/>
        </w:rPr>
        <w:t>for</w:t>
      </w:r>
      <w:r w:rsidR="00FE27DD">
        <w:rPr>
          <w:sz w:val="32"/>
          <w:szCs w:val="32"/>
        </w:rPr>
        <w:t xml:space="preserve"> Liquid and Gaseous Fuels</w:t>
      </w:r>
    </w:p>
    <w:p w14:paraId="57AA49EF" w14:textId="68610A16" w:rsidR="00D30AE8" w:rsidRPr="00D30AE8" w:rsidRDefault="00D30AE8" w:rsidP="00D30AE8">
      <w:r>
        <w:t>For biofuels (biomethane, biodiesel, and renewable diesel), we consider CO</w:t>
      </w:r>
      <w:r>
        <w:rPr>
          <w:vertAlign w:val="subscript"/>
        </w:rPr>
        <w:t>2</w:t>
      </w:r>
      <w:r>
        <w:t xml:space="preserve"> released in combustion to be </w:t>
      </w:r>
      <w:r w:rsidR="00C169B5">
        <w:t xml:space="preserve">a part of the </w:t>
      </w:r>
      <w:r>
        <w:t>biogenic carbon cycle</w:t>
      </w:r>
      <w:r w:rsidR="00FE27DD">
        <w:t xml:space="preserve">; when biogenic carbon is emitted through combustion of these fuels, we assume it is re-sequestered by near-term regrowth of the biological material that initially led to the development of these fuels. </w:t>
      </w:r>
      <w:r>
        <w:t xml:space="preserve">GREET does not </w:t>
      </w:r>
      <w:r w:rsidR="00C169B5">
        <w:t xml:space="preserve">consistently </w:t>
      </w:r>
      <w:r>
        <w:t>account for carbon sequestration as part of upstream emissions, and so we therefore did not account for CO</w:t>
      </w:r>
      <w:r>
        <w:rPr>
          <w:vertAlign w:val="subscript"/>
        </w:rPr>
        <w:t>2</w:t>
      </w:r>
      <w:r>
        <w:t xml:space="preserve"> released during combustion of these fuels in our analysis. We did account for </w:t>
      </w:r>
      <w:r w:rsidRPr="00D30AE8">
        <w:t>CH</w:t>
      </w:r>
      <w:r w:rsidRPr="00D30AE8">
        <w:rPr>
          <w:vertAlign w:val="subscript"/>
        </w:rPr>
        <w:t>4</w:t>
      </w:r>
      <w:r w:rsidRPr="00D30AE8">
        <w:t xml:space="preserve"> and N</w:t>
      </w:r>
      <w:r w:rsidRPr="00D30AE8">
        <w:rPr>
          <w:vertAlign w:val="subscript"/>
        </w:rPr>
        <w:t>2</w:t>
      </w:r>
      <w:r w:rsidRPr="00D30AE8">
        <w:t>O</w:t>
      </w:r>
      <w:r>
        <w:t xml:space="preserve"> released by combustion of these fuels in the reported emissions </w:t>
      </w:r>
      <w:r w:rsidR="00C6101B">
        <w:t>rates</w:t>
      </w:r>
      <w:r>
        <w:t>.</w:t>
      </w:r>
    </w:p>
    <w:p w14:paraId="0871D365" w14:textId="3FF12470" w:rsidR="00D30AE8" w:rsidRDefault="00D30AE8" w:rsidP="00D30AE8">
      <w:pPr>
        <w:pStyle w:val="Heading3"/>
        <w:rPr>
          <w:sz w:val="32"/>
          <w:szCs w:val="32"/>
        </w:rPr>
      </w:pPr>
      <w:r>
        <w:rPr>
          <w:sz w:val="32"/>
          <w:szCs w:val="32"/>
        </w:rPr>
        <w:lastRenderedPageBreak/>
        <w:t xml:space="preserve">Treatment of Land Use </w:t>
      </w:r>
      <w:r w:rsidR="00CD7FE7">
        <w:rPr>
          <w:sz w:val="32"/>
          <w:szCs w:val="32"/>
        </w:rPr>
        <w:t>C</w:t>
      </w:r>
      <w:r>
        <w:rPr>
          <w:sz w:val="32"/>
          <w:szCs w:val="32"/>
        </w:rPr>
        <w:t>hanges</w:t>
      </w:r>
      <w:r w:rsidR="00CD7FE7">
        <w:rPr>
          <w:sz w:val="32"/>
          <w:szCs w:val="32"/>
        </w:rPr>
        <w:t xml:space="preserve"> for Liquid and Gaseous Fuels</w:t>
      </w:r>
    </w:p>
    <w:p w14:paraId="741F62B4" w14:textId="1CF6F3D3" w:rsidR="00CD7FE7" w:rsidRPr="00CD7FE7" w:rsidRDefault="00CD7FE7" w:rsidP="00CD7FE7">
      <w:r>
        <w:t>For biofuels developed from purpose grown crops and animal waste, our emissions analysis assumes that there is no change in land use associated with the biofuel that needs to be quantified in our emissions rates.</w:t>
      </w:r>
    </w:p>
    <w:p w14:paraId="2EB0ED64" w14:textId="67F57852" w:rsidR="00CD7FE7" w:rsidRDefault="000B33F7" w:rsidP="00CD7FE7">
      <w:pPr>
        <w:pStyle w:val="ListBullet"/>
      </w:pPr>
      <w:r>
        <w:t xml:space="preserve">Biofuels from purpose grown crops are </w:t>
      </w:r>
      <w:r w:rsidR="00CD7FE7">
        <w:t xml:space="preserve">currently </w:t>
      </w:r>
      <w:r>
        <w:t>predominately produced in the Midwest</w:t>
      </w:r>
      <w:r w:rsidR="00CD7FE7">
        <w:t>ern United States</w:t>
      </w:r>
      <w:r>
        <w:t>. In our analysis, we assume that</w:t>
      </w:r>
      <w:r w:rsidR="00CB7BD7">
        <w:t xml:space="preserve"> </w:t>
      </w:r>
      <w:r>
        <w:t xml:space="preserve">feedstock crops, such as soybeans, corn and canola, are grown on dedicated land for explicit use in the energy sector. </w:t>
      </w:r>
      <w:r w:rsidR="00CD7FE7">
        <w:t xml:space="preserve">This simplification, along with the uncertainty around the change in demand for these fuels nationally, and Vermont’s contribution to that demand, leads to our decision to not quantify the implications of land use change on upstream emissions. </w:t>
      </w:r>
    </w:p>
    <w:p w14:paraId="315B5058" w14:textId="1A79A26A" w:rsidR="00CD7FE7" w:rsidRDefault="00CD7FE7" w:rsidP="00CD7FE7">
      <w:pPr>
        <w:pStyle w:val="ListBullet"/>
      </w:pPr>
      <w:r>
        <w:t xml:space="preserve">For biofuels from animal waste, our analysis assumes no change in land use as </w:t>
      </w:r>
      <w:proofErr w:type="gramStart"/>
      <w:r>
        <w:t>the feedstock</w:t>
      </w:r>
      <w:proofErr w:type="gramEnd"/>
      <w:r>
        <w:t xml:space="preserve"> is a byproduct and not the primary driver for animal farms.</w:t>
      </w:r>
    </w:p>
    <w:p w14:paraId="45F9E6F4" w14:textId="3EBAEA3B" w:rsidR="00290861" w:rsidRPr="001324CD" w:rsidRDefault="00290861" w:rsidP="00290861">
      <w:pPr>
        <w:pStyle w:val="Heading3"/>
        <w:rPr>
          <w:sz w:val="32"/>
          <w:szCs w:val="32"/>
        </w:rPr>
      </w:pPr>
      <w:r>
        <w:rPr>
          <w:sz w:val="32"/>
          <w:szCs w:val="32"/>
        </w:rPr>
        <w:t>Counterfactual Emissions Scenarios</w:t>
      </w:r>
    </w:p>
    <w:p w14:paraId="5FF2CD27" w14:textId="4B4B724F" w:rsidR="00290861" w:rsidRDefault="00290861" w:rsidP="00290861">
      <w:r>
        <w:t>Our emissions analysis does not account for counterfactual scenarios such as the fate of waste feedstocks if not incorporated into a heating fuel or a</w:t>
      </w:r>
      <w:r w:rsidRPr="00290861">
        <w:t xml:space="preserve">voided methane releases for </w:t>
      </w:r>
      <w:r>
        <w:t>biomethane.</w:t>
      </w:r>
    </w:p>
    <w:p w14:paraId="1308A914" w14:textId="6DE6AD9C" w:rsidR="001324CD" w:rsidRPr="001324CD" w:rsidRDefault="001324CD" w:rsidP="001324CD">
      <w:pPr>
        <w:pStyle w:val="Heading3"/>
        <w:rPr>
          <w:sz w:val="32"/>
          <w:szCs w:val="32"/>
        </w:rPr>
      </w:pPr>
      <w:r>
        <w:rPr>
          <w:sz w:val="32"/>
          <w:szCs w:val="32"/>
        </w:rPr>
        <w:t xml:space="preserve">Transmission and Distribution </w:t>
      </w:r>
      <w:r w:rsidRPr="001324CD">
        <w:rPr>
          <w:sz w:val="32"/>
          <w:szCs w:val="32"/>
        </w:rPr>
        <w:t>Losses</w:t>
      </w:r>
      <w:r w:rsidR="00CD7FE7">
        <w:rPr>
          <w:sz w:val="32"/>
          <w:szCs w:val="32"/>
        </w:rPr>
        <w:t xml:space="preserve"> and A</w:t>
      </w:r>
      <w:r w:rsidR="00FE28CD">
        <w:rPr>
          <w:sz w:val="32"/>
          <w:szCs w:val="32"/>
        </w:rPr>
        <w:t>dditional Emissions</w:t>
      </w:r>
    </w:p>
    <w:p w14:paraId="37DF9614" w14:textId="040AFBDF" w:rsidR="001324CD" w:rsidRDefault="001324CD" w:rsidP="001324CD">
      <w:r w:rsidRPr="001324CD">
        <w:t xml:space="preserve">GREET accounts for transmission and distribution losses from the </w:t>
      </w:r>
      <w:r>
        <w:t>fuel producer to the distributor, and those losses are therefore incorporated into our emissions rates for liquid and gaseous fuels.</w:t>
      </w:r>
      <w:r w:rsidR="00FE28CD">
        <w:t xml:space="preserve"> Our emissions rates for liquid and gaseous fuels do not, however, account for any additional emissions or losses that are incurred from distribution of fuels from the distributor to the end</w:t>
      </w:r>
      <w:r w:rsidR="00C6101B">
        <w:t>-</w:t>
      </w:r>
      <w:r w:rsidR="00FE28CD">
        <w:t>user (such as natural gas distribution system losses</w:t>
      </w:r>
      <w:r w:rsidR="00504E40">
        <w:t xml:space="preserve"> or delivery of liquid fuels to a customer from a distribution center</w:t>
      </w:r>
      <w:r w:rsidR="00FE28CD">
        <w:t>)</w:t>
      </w:r>
      <w:r w:rsidR="00504E40">
        <w:t xml:space="preserve">. </w:t>
      </w:r>
      <w:proofErr w:type="gramStart"/>
      <w:r w:rsidR="00504E40">
        <w:t>Similar to</w:t>
      </w:r>
      <w:proofErr w:type="gramEnd"/>
      <w:r w:rsidR="00504E40">
        <w:t xml:space="preserve"> grid electricity line losses, we intend to provide separate distribution loss factors in the CHS TRM that are to be applied in the decarbonization measure calculations for each measure using liquid or gaseous fuels. Alternatively, we could choose to produce emissions rates for these fuels that adjust the currently presented emissions rates to reflect these additional losses</w:t>
      </w:r>
      <w:r w:rsidR="00C6101B">
        <w:t>.</w:t>
      </w:r>
    </w:p>
    <w:p w14:paraId="6B8D950F" w14:textId="0007CA9B" w:rsidR="00FE28CD" w:rsidRPr="00FE28CD" w:rsidRDefault="00C6101B" w:rsidP="00FE28CD">
      <w:pPr>
        <w:pStyle w:val="Heading3"/>
        <w:rPr>
          <w:sz w:val="32"/>
          <w:szCs w:val="32"/>
        </w:rPr>
      </w:pPr>
      <w:r>
        <w:rPr>
          <w:sz w:val="32"/>
          <w:szCs w:val="32"/>
        </w:rPr>
        <w:t xml:space="preserve">Inclusion of </w:t>
      </w:r>
      <w:r w:rsidR="00932492">
        <w:rPr>
          <w:sz w:val="32"/>
          <w:szCs w:val="32"/>
        </w:rPr>
        <w:t>Renewable Propane</w:t>
      </w:r>
    </w:p>
    <w:p w14:paraId="38499705" w14:textId="793B8614" w:rsidR="005D547A" w:rsidRDefault="00782094" w:rsidP="00932492">
      <w:r>
        <w:t>A request was submitted as part of comments in 23-2220-RULE for inclusion of renewable propane as an eligible fuel for the Vermont CHS. Renewable propane is a legitimate fuel with established use on the West Coast of the United States as part of low-carbon fuel standard (LCFS) policies, most notably in California and Oregon. However, GREET does not include a method for directly calculating renewable propane emission</w:t>
      </w:r>
      <w:r w:rsidR="00C6101B">
        <w:t>s</w:t>
      </w:r>
      <w:r>
        <w:t xml:space="preserve"> rates</w:t>
      </w:r>
      <w:r w:rsidR="00A2492F">
        <w:t xml:space="preserve">. </w:t>
      </w:r>
      <w:r w:rsidR="005D547A">
        <w:t xml:space="preserve">Our review of </w:t>
      </w:r>
      <w:r w:rsidR="00A2492F">
        <w:t>California renewable propane emission</w:t>
      </w:r>
      <w:r w:rsidR="00C6101B">
        <w:t>s</w:t>
      </w:r>
      <w:r w:rsidR="00A2492F">
        <w:t xml:space="preserve"> rates</w:t>
      </w:r>
      <w:r w:rsidR="005D547A">
        <w:t xml:space="preserve"> indicates that they</w:t>
      </w:r>
      <w:r w:rsidR="00A2492F">
        <w:t xml:space="preserve"> appear to be developed based on </w:t>
      </w:r>
      <w:r w:rsidR="005D547A">
        <w:t xml:space="preserve">estimates. </w:t>
      </w:r>
    </w:p>
    <w:p w14:paraId="7331B718" w14:textId="225437EE" w:rsidR="00782094" w:rsidRDefault="005D547A" w:rsidP="00932492">
      <w:r>
        <w:t>Therefore, at</w:t>
      </w:r>
      <w:r w:rsidRPr="005D547A">
        <w:t xml:space="preserve"> this time, we will not be characterizing renewable propane in our analysis</w:t>
      </w:r>
      <w:r>
        <w:t>. We</w:t>
      </w:r>
      <w:r w:rsidRPr="005D547A">
        <w:t xml:space="preserve"> </w:t>
      </w:r>
      <w:r>
        <w:t>believe</w:t>
      </w:r>
      <w:r w:rsidRPr="005D547A">
        <w:t xml:space="preserve"> the inclusion of renewable propane in the CHS would be reasonable if a defensible analytic basis to substantiate V</w:t>
      </w:r>
      <w:r w:rsidR="00932492">
        <w:t>ermont</w:t>
      </w:r>
      <w:r w:rsidRPr="005D547A">
        <w:t>-specific emissions could be identified.</w:t>
      </w:r>
      <w:r>
        <w:t xml:space="preserve"> Alternatively, the Commission could choose to adopt emissions rates for renewable propane directly from other jurisdictions (e.g. California or Oregon) as a placeholder until analytical tools become available to study renewable propane in the same </w:t>
      </w:r>
      <w:proofErr w:type="gramStart"/>
      <w:r>
        <w:t>manner</w:t>
      </w:r>
      <w:proofErr w:type="gramEnd"/>
      <w:r>
        <w:t xml:space="preserve"> we have studied the other fuels presented in this schedule.</w:t>
      </w:r>
    </w:p>
    <w:p w14:paraId="7B8DE691" w14:textId="2E89454B" w:rsidR="001324CD" w:rsidRDefault="001324CD" w:rsidP="001324CD">
      <w:pPr>
        <w:pStyle w:val="Heading2"/>
        <w:rPr>
          <w:sz w:val="32"/>
          <w:szCs w:val="32"/>
        </w:rPr>
      </w:pPr>
      <w:r>
        <w:rPr>
          <w:sz w:val="32"/>
          <w:szCs w:val="32"/>
        </w:rPr>
        <w:t xml:space="preserve">Emissions Rates for Wood </w:t>
      </w:r>
      <w:r w:rsidR="00932492">
        <w:rPr>
          <w:sz w:val="32"/>
          <w:szCs w:val="32"/>
        </w:rPr>
        <w:t>Fuels</w:t>
      </w:r>
    </w:p>
    <w:p w14:paraId="60D08E44" w14:textId="47336B98" w:rsidR="00ED2B49" w:rsidRPr="00D30AE8" w:rsidRDefault="00ED2B49" w:rsidP="00ED2B49">
      <w:r>
        <w:t>Upstream emissions for wood fuels were developed using two sources. For wood chips, wood pellets, and commercial firewood, we used GREET1 2023rev1, following a similar analytical framework as used in the V</w:t>
      </w:r>
      <w:r w:rsidRPr="0025719A">
        <w:t xml:space="preserve">ermont Energy Sector </w:t>
      </w:r>
      <w:r w:rsidRPr="0025719A">
        <w:lastRenderedPageBreak/>
        <w:t>Life Cycle Assessment report</w:t>
      </w:r>
      <w:r>
        <w:t>.</w:t>
      </w:r>
      <w:r>
        <w:rPr>
          <w:rStyle w:val="FootnoteReference"/>
        </w:rPr>
        <w:footnoteReference w:id="19"/>
      </w:r>
      <w:r>
        <w:t xml:space="preserve"> For non-commercial firewood, </w:t>
      </w:r>
      <w:r w:rsidRPr="00504E40">
        <w:t>we use</w:t>
      </w:r>
      <w:r>
        <w:t>d results pr</w:t>
      </w:r>
      <w:r w:rsidRPr="00504E40">
        <w:t xml:space="preserve">esented in the </w:t>
      </w:r>
      <w:r w:rsidRPr="004F2B41">
        <w:t xml:space="preserve">Vermont Energy Sector Life Cycle Assessment </w:t>
      </w:r>
      <w:r>
        <w:t>report</w:t>
      </w:r>
      <w:r>
        <w:rPr>
          <w:rStyle w:val="FootnoteReference"/>
        </w:rPr>
        <w:footnoteReference w:id="20"/>
      </w:r>
      <w:r w:rsidRPr="00504E40">
        <w:t xml:space="preserve"> as they are Vermont-specific</w:t>
      </w:r>
      <w:r>
        <w:t>.</w:t>
      </w:r>
    </w:p>
    <w:p w14:paraId="0DDCFD49" w14:textId="2A51F1F0" w:rsidR="001D2DDA" w:rsidRDefault="001D2DDA" w:rsidP="001D2DDA">
      <w:r>
        <w:t xml:space="preserve">Combustion emissions were estimated using combustion emissions </w:t>
      </w:r>
      <w:r w:rsidR="00C6101B">
        <w:t>rates</w:t>
      </w:r>
      <w:r>
        <w:t xml:space="preserve"> for </w:t>
      </w:r>
      <w:r w:rsidRPr="00D30AE8">
        <w:t>CO</w:t>
      </w:r>
      <w:r w:rsidRPr="00D30AE8">
        <w:rPr>
          <w:vertAlign w:val="subscript"/>
        </w:rPr>
        <w:t>2</w:t>
      </w:r>
      <w:r w:rsidRPr="00D30AE8">
        <w:t>, CH</w:t>
      </w:r>
      <w:r w:rsidRPr="00D30AE8">
        <w:rPr>
          <w:vertAlign w:val="subscript"/>
        </w:rPr>
        <w:t>4</w:t>
      </w:r>
      <w:r w:rsidRPr="00D30AE8">
        <w:t>, and N</w:t>
      </w:r>
      <w:r w:rsidRPr="00D30AE8">
        <w:rPr>
          <w:vertAlign w:val="subscript"/>
        </w:rPr>
        <w:t>2</w:t>
      </w:r>
      <w:r w:rsidRPr="00D30AE8">
        <w:t>O from</w:t>
      </w:r>
      <w:r>
        <w:t xml:space="preserve"> the</w:t>
      </w:r>
      <w:r w:rsidRPr="00D30AE8">
        <w:t xml:space="preserve"> U.S. EPA Emission Factors Hub</w:t>
      </w:r>
      <w:r>
        <w:t>.</w:t>
      </w:r>
      <w:r>
        <w:rPr>
          <w:rStyle w:val="FootnoteReference"/>
        </w:rPr>
        <w:footnoteReference w:id="21"/>
      </w:r>
    </w:p>
    <w:p w14:paraId="71ED98E8" w14:textId="0B1CC402" w:rsidR="001D2DDA" w:rsidRDefault="001D2DDA" w:rsidP="001D2DDA">
      <w:pPr>
        <w:pStyle w:val="Heading3"/>
        <w:rPr>
          <w:sz w:val="32"/>
          <w:szCs w:val="32"/>
        </w:rPr>
      </w:pPr>
      <w:r>
        <w:rPr>
          <w:sz w:val="32"/>
          <w:szCs w:val="32"/>
        </w:rPr>
        <w:t>Treatment of Biogenic Carbon</w:t>
      </w:r>
      <w:r w:rsidR="00FE27DD">
        <w:rPr>
          <w:sz w:val="32"/>
          <w:szCs w:val="32"/>
        </w:rPr>
        <w:t xml:space="preserve"> </w:t>
      </w:r>
      <w:r w:rsidR="00CD7FE7">
        <w:rPr>
          <w:sz w:val="32"/>
          <w:szCs w:val="32"/>
        </w:rPr>
        <w:t>for</w:t>
      </w:r>
      <w:r w:rsidR="00FE27DD">
        <w:rPr>
          <w:sz w:val="32"/>
          <w:szCs w:val="32"/>
        </w:rPr>
        <w:t xml:space="preserve"> Wood Fuels</w:t>
      </w:r>
    </w:p>
    <w:p w14:paraId="2903B254" w14:textId="063477CD" w:rsidR="001D2DDA" w:rsidRDefault="00FE27DD" w:rsidP="001324CD">
      <w:r>
        <w:t>For wood fuels, we consider CO</w:t>
      </w:r>
      <w:r>
        <w:rPr>
          <w:vertAlign w:val="subscript"/>
        </w:rPr>
        <w:t>2</w:t>
      </w:r>
      <w:r>
        <w:t xml:space="preserve"> released in combustion to be part of a longer </w:t>
      </w:r>
      <w:r w:rsidR="00AC3AD1">
        <w:t xml:space="preserve">biogenic carbon </w:t>
      </w:r>
      <w:r>
        <w:t xml:space="preserve">cycle </w:t>
      </w:r>
      <w:r w:rsidR="00AC3AD1">
        <w:t xml:space="preserve">than biofuels, </w:t>
      </w:r>
      <w:r>
        <w:t>in which it takes significant time for the regrowth of new trees to fully sequester the biogenic carbon emitted</w:t>
      </w:r>
      <w:r w:rsidR="00AC3AD1">
        <w:t xml:space="preserve"> during combustion</w:t>
      </w:r>
      <w:r>
        <w:t>.</w:t>
      </w:r>
      <w:r w:rsidRPr="00FE27DD">
        <w:t xml:space="preserve"> </w:t>
      </w:r>
      <w:r>
        <w:t>In line with an alternative approach presented in the Vermont Greenhouse Gas Emissions Inventory and Forecast,</w:t>
      </w:r>
      <w:r>
        <w:rPr>
          <w:rStyle w:val="FootnoteReference"/>
        </w:rPr>
        <w:footnoteReference w:id="22"/>
      </w:r>
      <w:r>
        <w:t xml:space="preserve"> we apply a </w:t>
      </w:r>
      <w:proofErr w:type="spellStart"/>
      <w:r>
        <w:t>GWP</w:t>
      </w:r>
      <w:r>
        <w:rPr>
          <w:vertAlign w:val="subscript"/>
        </w:rPr>
        <w:t>bio</w:t>
      </w:r>
      <w:proofErr w:type="spellEnd"/>
      <w:r>
        <w:t xml:space="preserve"> factor to </w:t>
      </w:r>
      <w:r w:rsidR="00AC3AD1">
        <w:t>CO</w:t>
      </w:r>
      <w:r w:rsidR="00AC3AD1" w:rsidRPr="009A23D2">
        <w:rPr>
          <w:vertAlign w:val="subscript"/>
        </w:rPr>
        <w:t>2</w:t>
      </w:r>
      <w:r w:rsidR="00AC3AD1">
        <w:t xml:space="preserve"> </w:t>
      </w:r>
      <w:r>
        <w:t xml:space="preserve">combustion emissions from wood fuels to account for the regrowth period of the fuel. We apply a </w:t>
      </w:r>
      <w:proofErr w:type="spellStart"/>
      <w:r>
        <w:t>GWP</w:t>
      </w:r>
      <w:r>
        <w:rPr>
          <w:vertAlign w:val="subscript"/>
        </w:rPr>
        <w:t>bio</w:t>
      </w:r>
      <w:proofErr w:type="spellEnd"/>
      <w:r>
        <w:t xml:space="preserve"> factor of 0.32 in our analysis.</w:t>
      </w:r>
      <w:r w:rsidR="002B355A">
        <w:rPr>
          <w:rStyle w:val="FootnoteReference"/>
        </w:rPr>
        <w:footnoteReference w:id="23"/>
      </w:r>
      <w:r w:rsidR="00AC3AD1">
        <w:t xml:space="preserve"> </w:t>
      </w:r>
      <w:r>
        <w:t xml:space="preserve">We did </w:t>
      </w:r>
      <w:r w:rsidR="00AC3AD1">
        <w:t xml:space="preserve">not apply a factor in </w:t>
      </w:r>
      <w:r>
        <w:t>account</w:t>
      </w:r>
      <w:r w:rsidR="00AC3AD1">
        <w:t>ing</w:t>
      </w:r>
      <w:r>
        <w:t xml:space="preserve"> for </w:t>
      </w:r>
      <w:r w:rsidRPr="00D30AE8">
        <w:t>CH</w:t>
      </w:r>
      <w:r w:rsidRPr="00D30AE8">
        <w:rPr>
          <w:vertAlign w:val="subscript"/>
        </w:rPr>
        <w:t>4</w:t>
      </w:r>
      <w:r w:rsidRPr="00D30AE8">
        <w:t xml:space="preserve"> and N</w:t>
      </w:r>
      <w:r w:rsidRPr="00D30AE8">
        <w:rPr>
          <w:vertAlign w:val="subscript"/>
        </w:rPr>
        <w:t>2</w:t>
      </w:r>
      <w:r w:rsidRPr="00D30AE8">
        <w:t>O</w:t>
      </w:r>
      <w:r>
        <w:t xml:space="preserve"> released by combustion of wood fuels in the reported emissions </w:t>
      </w:r>
      <w:r w:rsidR="00C6101B">
        <w:t>rates</w:t>
      </w:r>
      <w:r>
        <w:t>.</w:t>
      </w:r>
    </w:p>
    <w:p w14:paraId="6C402FE3" w14:textId="0409CB57" w:rsidR="00FE27DD" w:rsidRDefault="00FE27DD" w:rsidP="00FE27DD">
      <w:pPr>
        <w:pStyle w:val="Heading3"/>
        <w:rPr>
          <w:sz w:val="32"/>
          <w:szCs w:val="32"/>
        </w:rPr>
      </w:pPr>
      <w:r>
        <w:rPr>
          <w:sz w:val="32"/>
          <w:szCs w:val="32"/>
        </w:rPr>
        <w:t xml:space="preserve">Treatment of Land Use </w:t>
      </w:r>
      <w:r w:rsidR="00CD7FE7">
        <w:rPr>
          <w:sz w:val="32"/>
          <w:szCs w:val="32"/>
        </w:rPr>
        <w:t>C</w:t>
      </w:r>
      <w:r>
        <w:rPr>
          <w:sz w:val="32"/>
          <w:szCs w:val="32"/>
        </w:rPr>
        <w:t>hanges</w:t>
      </w:r>
      <w:r w:rsidR="00CD7FE7">
        <w:rPr>
          <w:sz w:val="32"/>
          <w:szCs w:val="32"/>
        </w:rPr>
        <w:t xml:space="preserve"> for Wood Fuels</w:t>
      </w:r>
    </w:p>
    <w:p w14:paraId="10449BBB" w14:textId="7B681084" w:rsidR="00CD7FE7" w:rsidRPr="00CD7FE7" w:rsidRDefault="00CD7FE7" w:rsidP="00CD7FE7">
      <w:r>
        <w:t>For wood fuels, our emissions analysis assumes that there is no change in land use associated with the</w:t>
      </w:r>
      <w:r w:rsidR="00BF11F3">
        <w:t xml:space="preserve"> wood fuel</w:t>
      </w:r>
      <w:r>
        <w:t xml:space="preserve"> that needs to be quantified in our emissions rates.</w:t>
      </w:r>
    </w:p>
    <w:p w14:paraId="7B3E04BA" w14:textId="6FB1A062" w:rsidR="00ED2B49" w:rsidRDefault="004F2B41" w:rsidP="00ED2B49">
      <w:r>
        <w:t xml:space="preserve">As described in the </w:t>
      </w:r>
      <w:r w:rsidRPr="004F2B41">
        <w:t xml:space="preserve">Vermont Energy Sector Life Cycle Assessment </w:t>
      </w:r>
      <w:r>
        <w:t>report,</w:t>
      </w:r>
      <w:r w:rsidR="00CD7FE7">
        <w:rPr>
          <w:rStyle w:val="FootnoteReference"/>
        </w:rPr>
        <w:footnoteReference w:id="24"/>
      </w:r>
      <w:r>
        <w:t xml:space="preserve"> </w:t>
      </w:r>
      <w:r w:rsidR="00CD2EF7">
        <w:t xml:space="preserve">GREET1 2023rev1 </w:t>
      </w:r>
      <w:proofErr w:type="gramStart"/>
      <w:r w:rsidR="00CD2EF7">
        <w:t>models</w:t>
      </w:r>
      <w:proofErr w:type="gramEnd"/>
      <w:r w:rsidR="00CD2EF7">
        <w:t xml:space="preserve"> energy and emissions associated with short rotation woody crops with the embedded assumption that these crops are grown for the dedicated use in the energy sector. </w:t>
      </w:r>
      <w:r w:rsidR="00ED2B49">
        <w:t>This</w:t>
      </w:r>
      <w:r w:rsidR="00CD2EF7">
        <w:t xml:space="preserve"> assumption is not consistent with typical forestry management strategies</w:t>
      </w:r>
      <w:r w:rsidR="00ED2B49">
        <w:t xml:space="preserve"> in Vermont. Nevertheless, </w:t>
      </w:r>
      <w:r w:rsidR="00CD2EF7">
        <w:t xml:space="preserve">a pathway for accounting </w:t>
      </w:r>
      <w:r w:rsidR="00ED2B49">
        <w:t>for</w:t>
      </w:r>
      <w:r w:rsidR="00CD2EF7">
        <w:t xml:space="preserve"> land use changes in Vermont </w:t>
      </w:r>
      <w:r w:rsidR="00ED2B49">
        <w:t>is</w:t>
      </w:r>
      <w:r w:rsidR="00CD2EF7">
        <w:t xml:space="preserve"> not evident</w:t>
      </w:r>
      <w:r w:rsidR="00ED2B49">
        <w:t xml:space="preserve"> to us. In addition, the decision to not account for land use change is </w:t>
      </w:r>
      <w:r w:rsidR="00CD243B">
        <w:t xml:space="preserve">consistent with </w:t>
      </w:r>
      <w:r>
        <w:t xml:space="preserve">the handling of </w:t>
      </w:r>
      <w:r w:rsidR="00CD243B">
        <w:t xml:space="preserve">land use change for biofuels </w:t>
      </w:r>
      <w:r w:rsidR="00ED2B49">
        <w:t xml:space="preserve">described above. </w:t>
      </w:r>
      <w:r w:rsidR="00CD2EF7">
        <w:t xml:space="preserve">Being consistent in this accounting supports comparative results across biofuels. The implications of land use change in the forestry sector </w:t>
      </w:r>
      <w:proofErr w:type="gramStart"/>
      <w:r w:rsidR="00CD2EF7">
        <w:t>as a result of</w:t>
      </w:r>
      <w:proofErr w:type="gramEnd"/>
      <w:r w:rsidR="00CD2EF7">
        <w:t xml:space="preserve"> the energy sector </w:t>
      </w:r>
      <w:r w:rsidR="00BF11F3">
        <w:t>could</w:t>
      </w:r>
      <w:r w:rsidR="00CD2EF7">
        <w:t xml:space="preserve"> be further explored in future CHS updates.</w:t>
      </w:r>
    </w:p>
    <w:sectPr w:rsidR="00ED2B49" w:rsidSect="00ED46AA">
      <w:headerReference w:type="default" r:id="rId15"/>
      <w:footerReference w:type="default" r:id="rId16"/>
      <w:pgSz w:w="12240" w:h="15840" w:code="1"/>
      <w:pgMar w:top="567" w:right="567" w:bottom="567" w:left="567" w:header="567"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F01835" w14:textId="77777777" w:rsidR="00ED46AA" w:rsidRDefault="00ED46AA">
      <w:pPr>
        <w:spacing w:after="0" w:line="240" w:lineRule="auto"/>
      </w:pPr>
      <w:r>
        <w:separator/>
      </w:r>
    </w:p>
    <w:p w14:paraId="0ADDA0B2" w14:textId="77777777" w:rsidR="00ED46AA" w:rsidRDefault="00ED46AA"/>
  </w:endnote>
  <w:endnote w:type="continuationSeparator" w:id="0">
    <w:p w14:paraId="56D1419D" w14:textId="77777777" w:rsidR="00ED46AA" w:rsidRDefault="00ED46AA">
      <w:pPr>
        <w:spacing w:after="0" w:line="240" w:lineRule="auto"/>
      </w:pPr>
      <w:r>
        <w:continuationSeparator/>
      </w:r>
    </w:p>
    <w:p w14:paraId="34CEFE7A" w14:textId="77777777" w:rsidR="00ED46AA" w:rsidRDefault="00ED46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Rift Soft">
    <w:panose1 w:val="00000500000000000000"/>
    <w:charset w:val="00"/>
    <w:family w:val="modern"/>
    <w:notTrueType/>
    <w:pitch w:val="variable"/>
    <w:sig w:usb0="00000007" w:usb1="00000000" w:usb2="00000000" w:usb3="00000000" w:csb0="00000093" w:csb1="00000000"/>
  </w:font>
  <w:font w:name="Franklin Gothic Book">
    <w:panose1 w:val="020B0503020102020204"/>
    <w:charset w:val="00"/>
    <w:family w:val="swiss"/>
    <w:pitch w:val="variable"/>
    <w:sig w:usb0="00000287" w:usb1="00000000" w:usb2="00000000" w:usb3="00000000" w:csb0="0000009F" w:csb1="00000000"/>
  </w:font>
  <w:font w:name="Rift Soft Medium">
    <w:panose1 w:val="00000600000000000000"/>
    <w:charset w:val="00"/>
    <w:family w:val="modern"/>
    <w:notTrueType/>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Demi">
    <w:panose1 w:val="020B07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ODExcelPlaceholder"/>
      <w:tblW w:w="0" w:type="auto"/>
      <w:tblLayout w:type="fixed"/>
      <w:tblLook w:val="04A0" w:firstRow="1" w:lastRow="0" w:firstColumn="1" w:lastColumn="0" w:noHBand="0" w:noVBand="1"/>
    </w:tblPr>
    <w:tblGrid>
      <w:gridCol w:w="5548"/>
      <w:gridCol w:w="5548"/>
    </w:tblGrid>
    <w:tr w:rsidR="007C320D" w14:paraId="4058B43A" w14:textId="77777777" w:rsidTr="008420AC">
      <w:trPr>
        <w:cnfStyle w:val="100000000000" w:firstRow="1" w:lastRow="0" w:firstColumn="0" w:lastColumn="0" w:oddVBand="0" w:evenVBand="0" w:oddHBand="0" w:evenHBand="0" w:firstRowFirstColumn="0" w:firstRowLastColumn="0" w:lastRowFirstColumn="0" w:lastRowLastColumn="0"/>
      </w:trPr>
      <w:tc>
        <w:tcPr>
          <w:tcW w:w="5548" w:type="dxa"/>
        </w:tcPr>
        <w:p w14:paraId="667D6D86" w14:textId="77777777" w:rsidR="0040139D" w:rsidRPr="00EF048B" w:rsidRDefault="000D4AB9" w:rsidP="001F322C">
          <w:r w:rsidRPr="00CB54CF">
            <w:t>Opinion Dynamics</w:t>
          </w:r>
        </w:p>
      </w:tc>
      <w:tc>
        <w:tcPr>
          <w:tcW w:w="5548" w:type="dxa"/>
        </w:tcPr>
        <w:p w14:paraId="74DF94B4" w14:textId="77777777" w:rsidR="0040139D" w:rsidRPr="00EF048B" w:rsidRDefault="000D4AB9" w:rsidP="001F322C">
          <w:r w:rsidRPr="00CB54CF">
            <w:t xml:space="preserve">| </w:t>
          </w:r>
          <w:r w:rsidRPr="00CB54CF">
            <w:fldChar w:fldCharType="begin"/>
          </w:r>
          <w:r w:rsidRPr="00CB54CF">
            <w:instrText xml:space="preserve"> PAGE   \* MERGEFORMAT </w:instrText>
          </w:r>
          <w:r w:rsidRPr="00CB54CF">
            <w:fldChar w:fldCharType="separate"/>
          </w:r>
          <w:r w:rsidRPr="00CB54CF">
            <w:t>1</w:t>
          </w:r>
          <w:r w:rsidRPr="00CB54CF">
            <w:fldChar w:fldCharType="end"/>
          </w:r>
        </w:p>
      </w:tc>
    </w:tr>
  </w:tbl>
  <w:p w14:paraId="2606F235" w14:textId="77777777" w:rsidR="0040139D" w:rsidRDefault="0040139D" w:rsidP="001F32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ODExcelPlaceholde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5548"/>
      <w:gridCol w:w="5548"/>
    </w:tblGrid>
    <w:tr w:rsidR="007C320D" w14:paraId="7A8803FF" w14:textId="77777777" w:rsidTr="00444BBD">
      <w:trPr>
        <w:cnfStyle w:val="100000000000" w:firstRow="1" w:lastRow="0" w:firstColumn="0" w:lastColumn="0" w:oddVBand="0" w:evenVBand="0" w:oddHBand="0" w:evenHBand="0" w:firstRowFirstColumn="0" w:firstRowLastColumn="0" w:lastRowFirstColumn="0" w:lastRowLastColumn="0"/>
      </w:trPr>
      <w:tc>
        <w:tcPr>
          <w:tcW w:w="5548" w:type="dxa"/>
        </w:tcPr>
        <w:p w14:paraId="4364FE07" w14:textId="77777777" w:rsidR="00BD573A" w:rsidRPr="00EF048B" w:rsidRDefault="000D4AB9" w:rsidP="00A02BBA">
          <w:pPr>
            <w:pStyle w:val="Footer"/>
            <w:jc w:val="left"/>
          </w:pPr>
          <w:r w:rsidRPr="00CB54CF">
            <w:t>Opinion Dynamics</w:t>
          </w:r>
        </w:p>
      </w:tc>
      <w:tc>
        <w:tcPr>
          <w:tcW w:w="5548" w:type="dxa"/>
        </w:tcPr>
        <w:p w14:paraId="1472287D" w14:textId="77777777" w:rsidR="00BD573A" w:rsidRPr="00EF048B" w:rsidRDefault="000D4AB9" w:rsidP="00A02BBA">
          <w:pPr>
            <w:pStyle w:val="Footer"/>
            <w:jc w:val="right"/>
          </w:pPr>
          <w:r w:rsidRPr="00CB54CF">
            <w:fldChar w:fldCharType="begin"/>
          </w:r>
          <w:r w:rsidRPr="00CB54CF">
            <w:instrText xml:space="preserve"> PAGE   \* MERGEFORMAT </w:instrText>
          </w:r>
          <w:r w:rsidRPr="00CB54CF">
            <w:fldChar w:fldCharType="separate"/>
          </w:r>
          <w:r w:rsidRPr="00CB54CF">
            <w:t>1</w:t>
          </w:r>
          <w:r w:rsidRPr="00CB54CF">
            <w:fldChar w:fldCharType="end"/>
          </w:r>
        </w:p>
      </w:tc>
    </w:tr>
  </w:tbl>
  <w:p w14:paraId="4F0E3D81" w14:textId="77777777" w:rsidR="00E842FE" w:rsidRPr="00BD573A" w:rsidRDefault="00E842FE" w:rsidP="00BD573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ODExcelPlaceholder"/>
      <w:tblW w:w="5000" w:type="pct"/>
      <w:tblLook w:val="04A0" w:firstRow="1" w:lastRow="0" w:firstColumn="1" w:lastColumn="0" w:noHBand="0" w:noVBand="1"/>
    </w:tblPr>
    <w:tblGrid>
      <w:gridCol w:w="2776"/>
      <w:gridCol w:w="2776"/>
      <w:gridCol w:w="2777"/>
      <w:gridCol w:w="2777"/>
    </w:tblGrid>
    <w:tr w:rsidR="00ED46AA" w14:paraId="0F0F86F4" w14:textId="77777777" w:rsidTr="004D2B53">
      <w:trPr>
        <w:cnfStyle w:val="100000000000" w:firstRow="1" w:lastRow="0" w:firstColumn="0" w:lastColumn="0" w:oddVBand="0" w:evenVBand="0" w:oddHBand="0" w:evenHBand="0" w:firstRowFirstColumn="0" w:firstRowLastColumn="0" w:lastRowFirstColumn="0" w:lastRowLastColumn="0"/>
      </w:trPr>
      <w:tc>
        <w:tcPr>
          <w:tcW w:w="1250" w:type="pct"/>
        </w:tcPr>
        <w:p w14:paraId="2C8CB331" w14:textId="77777777" w:rsidR="00ED46AA" w:rsidRPr="00EF048B" w:rsidRDefault="00ED46AA" w:rsidP="000F5311">
          <w:pPr>
            <w:pStyle w:val="Footer"/>
            <w:jc w:val="left"/>
          </w:pPr>
          <w:r w:rsidRPr="00CB54CF">
            <w:t>Opinion Dynamics</w:t>
          </w:r>
        </w:p>
      </w:tc>
      <w:tc>
        <w:tcPr>
          <w:tcW w:w="1250" w:type="pct"/>
        </w:tcPr>
        <w:p w14:paraId="2CC326F5" w14:textId="77777777" w:rsidR="00ED46AA" w:rsidRPr="00EF048B" w:rsidRDefault="00ED46AA" w:rsidP="000F5311">
          <w:pPr>
            <w:pStyle w:val="Footer"/>
          </w:pPr>
        </w:p>
      </w:tc>
      <w:tc>
        <w:tcPr>
          <w:tcW w:w="1250" w:type="pct"/>
        </w:tcPr>
        <w:p w14:paraId="55BA5BC5" w14:textId="77777777" w:rsidR="00ED46AA" w:rsidRPr="00EF048B" w:rsidRDefault="00ED46AA" w:rsidP="000F5311">
          <w:pPr>
            <w:pStyle w:val="Footer"/>
          </w:pPr>
        </w:p>
      </w:tc>
      <w:tc>
        <w:tcPr>
          <w:tcW w:w="1250" w:type="pct"/>
        </w:tcPr>
        <w:p w14:paraId="695F7B71" w14:textId="77777777" w:rsidR="00ED46AA" w:rsidRPr="00134ABC" w:rsidRDefault="00ED46AA" w:rsidP="000F5311">
          <w:pPr>
            <w:pStyle w:val="Footer"/>
          </w:pPr>
          <w:r w:rsidRPr="00CB54CF">
            <w:t xml:space="preserve">| </w:t>
          </w:r>
          <w:r w:rsidRPr="00CB54CF">
            <w:fldChar w:fldCharType="begin"/>
          </w:r>
          <w:r w:rsidRPr="00CB54CF">
            <w:instrText xml:space="preserve"> PAGE   \* MERGEFORMAT </w:instrText>
          </w:r>
          <w:r w:rsidRPr="00CB54CF">
            <w:fldChar w:fldCharType="separate"/>
          </w:r>
          <w:r>
            <w:t>5</w:t>
          </w:r>
          <w:r w:rsidRPr="00CB54CF">
            <w:fldChar w:fldCharType="end"/>
          </w:r>
        </w:p>
      </w:tc>
    </w:tr>
  </w:tbl>
  <w:p w14:paraId="61B8FD81" w14:textId="77777777" w:rsidR="00ED46AA" w:rsidRDefault="00ED46AA" w:rsidP="005776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ODExcelPlaceholder"/>
      <w:tblW w:w="5000" w:type="pct"/>
      <w:tblLook w:val="04A0" w:firstRow="1" w:lastRow="0" w:firstColumn="1" w:lastColumn="0" w:noHBand="0" w:noVBand="1"/>
    </w:tblPr>
    <w:tblGrid>
      <w:gridCol w:w="2776"/>
      <w:gridCol w:w="2776"/>
      <w:gridCol w:w="2777"/>
      <w:gridCol w:w="2777"/>
    </w:tblGrid>
    <w:tr w:rsidR="00A53C8F" w14:paraId="353ACA90" w14:textId="77777777" w:rsidTr="00A53C8F">
      <w:trPr>
        <w:cnfStyle w:val="100000000000" w:firstRow="1" w:lastRow="0" w:firstColumn="0" w:lastColumn="0" w:oddVBand="0" w:evenVBand="0" w:oddHBand="0" w:evenHBand="0" w:firstRowFirstColumn="0" w:firstRowLastColumn="0" w:lastRowFirstColumn="0" w:lastRowLastColumn="0"/>
      </w:trPr>
      <w:tc>
        <w:tcPr>
          <w:tcW w:w="1250" w:type="pct"/>
        </w:tcPr>
        <w:p w14:paraId="63FBEB47" w14:textId="77777777" w:rsidR="00A53C8F" w:rsidRPr="00EF048B" w:rsidRDefault="00A53C8F" w:rsidP="000F5311">
          <w:pPr>
            <w:pStyle w:val="Footer"/>
            <w:jc w:val="left"/>
          </w:pPr>
          <w:r w:rsidRPr="00CB54CF">
            <w:t>Opinion Dynamics</w:t>
          </w:r>
        </w:p>
      </w:tc>
      <w:tc>
        <w:tcPr>
          <w:tcW w:w="1250" w:type="pct"/>
        </w:tcPr>
        <w:p w14:paraId="527DDC8E" w14:textId="77777777" w:rsidR="00A53C8F" w:rsidRPr="00EF048B" w:rsidRDefault="00A53C8F" w:rsidP="000F5311">
          <w:pPr>
            <w:pStyle w:val="Footer"/>
          </w:pPr>
        </w:p>
      </w:tc>
      <w:tc>
        <w:tcPr>
          <w:tcW w:w="1250" w:type="pct"/>
        </w:tcPr>
        <w:p w14:paraId="418324A7" w14:textId="77777777" w:rsidR="00A53C8F" w:rsidRPr="00EF048B" w:rsidRDefault="00A53C8F" w:rsidP="000F5311">
          <w:pPr>
            <w:pStyle w:val="Footer"/>
          </w:pPr>
        </w:p>
      </w:tc>
      <w:tc>
        <w:tcPr>
          <w:tcW w:w="1250" w:type="pct"/>
        </w:tcPr>
        <w:p w14:paraId="5F21F82D" w14:textId="77777777" w:rsidR="00A53C8F" w:rsidRPr="00134ABC" w:rsidRDefault="00A53C8F" w:rsidP="000F5311">
          <w:pPr>
            <w:pStyle w:val="Footer"/>
          </w:pPr>
          <w:r w:rsidRPr="00CB54CF">
            <w:t xml:space="preserve">| </w:t>
          </w:r>
          <w:r w:rsidRPr="00CB54CF">
            <w:fldChar w:fldCharType="begin"/>
          </w:r>
          <w:r w:rsidRPr="00CB54CF">
            <w:instrText xml:space="preserve"> PAGE   \* MERGEFORMAT </w:instrText>
          </w:r>
          <w:r w:rsidRPr="00CB54CF">
            <w:fldChar w:fldCharType="separate"/>
          </w:r>
          <w:r>
            <w:t>5</w:t>
          </w:r>
          <w:r w:rsidRPr="00CB54CF">
            <w:fldChar w:fldCharType="end"/>
          </w:r>
        </w:p>
      </w:tc>
    </w:tr>
  </w:tbl>
  <w:p w14:paraId="2B79C597" w14:textId="77777777" w:rsidR="00A53C8F" w:rsidRDefault="00A53C8F" w:rsidP="005776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3B768B" w14:textId="77777777" w:rsidR="00ED46AA" w:rsidRDefault="00ED46AA">
      <w:pPr>
        <w:spacing w:after="0" w:line="240" w:lineRule="auto"/>
      </w:pPr>
      <w:r>
        <w:separator/>
      </w:r>
    </w:p>
  </w:footnote>
  <w:footnote w:type="continuationSeparator" w:id="0">
    <w:p w14:paraId="549937B6" w14:textId="77777777" w:rsidR="00ED46AA" w:rsidRDefault="00ED46AA">
      <w:pPr>
        <w:spacing w:after="0" w:line="240" w:lineRule="auto"/>
      </w:pPr>
      <w:r>
        <w:continuationSeparator/>
      </w:r>
    </w:p>
    <w:p w14:paraId="14FB2334" w14:textId="77777777" w:rsidR="00ED46AA" w:rsidRDefault="00ED46AA"/>
  </w:footnote>
  <w:footnote w:id="1">
    <w:p w14:paraId="10F03BD2" w14:textId="77777777" w:rsidR="00ED46AA" w:rsidRDefault="00ED46AA" w:rsidP="00ED46AA">
      <w:pPr>
        <w:pStyle w:val="FootnoteText"/>
      </w:pPr>
      <w:r>
        <w:rPr>
          <w:rStyle w:val="FootnoteReference"/>
        </w:rPr>
        <w:footnoteRef/>
      </w:r>
      <w:r>
        <w:t xml:space="preserve"> </w:t>
      </w:r>
      <w:bookmarkStart w:id="0" w:name="_Hlk168052378"/>
      <w:r>
        <w:t xml:space="preserve">30 V.S.A. </w:t>
      </w:r>
      <w:r w:rsidRPr="00A768B3">
        <w:t xml:space="preserve">§ </w:t>
      </w:r>
      <w:r>
        <w:t>8127(g)</w:t>
      </w:r>
      <w:bookmarkEnd w:id="0"/>
      <w:r>
        <w:t>(1).</w:t>
      </w:r>
    </w:p>
  </w:footnote>
  <w:footnote w:id="2">
    <w:p w14:paraId="6B339BBD" w14:textId="77777777" w:rsidR="00ED46AA" w:rsidRDefault="00ED46AA" w:rsidP="00ED46AA">
      <w:pPr>
        <w:pStyle w:val="FootnoteText"/>
      </w:pPr>
      <w:r>
        <w:rPr>
          <w:rStyle w:val="FootnoteReference"/>
        </w:rPr>
        <w:footnoteRef/>
      </w:r>
      <w:r>
        <w:t xml:space="preserve"> To align with the requirements of Act 18, the term “fuel” as used in this memo includes electricity, which is not always considered to be a “fuel” as the term is generally used.</w:t>
      </w:r>
    </w:p>
  </w:footnote>
  <w:footnote w:id="3">
    <w:p w14:paraId="35EA8132" w14:textId="77777777" w:rsidR="00ED46AA" w:rsidRDefault="00ED46AA" w:rsidP="00ED46AA">
      <w:pPr>
        <w:pStyle w:val="FootnoteText"/>
      </w:pPr>
      <w:r>
        <w:rPr>
          <w:rStyle w:val="FootnoteReference"/>
        </w:rPr>
        <w:footnoteRef/>
      </w:r>
      <w:r>
        <w:t xml:space="preserve"> 30 V.S.A. </w:t>
      </w:r>
      <w:r w:rsidRPr="00A768B3">
        <w:t xml:space="preserve">§ </w:t>
      </w:r>
      <w:r>
        <w:t>8127(g)(1).</w:t>
      </w:r>
    </w:p>
  </w:footnote>
  <w:footnote w:id="4">
    <w:p w14:paraId="006B256C" w14:textId="77777777" w:rsidR="00ED46AA" w:rsidRDefault="00ED46AA" w:rsidP="00ED46AA">
      <w:pPr>
        <w:pStyle w:val="FootnoteText"/>
      </w:pPr>
      <w:r>
        <w:rPr>
          <w:rStyle w:val="FootnoteReference"/>
        </w:rPr>
        <w:footnoteRef/>
      </w:r>
      <w:r>
        <w:t xml:space="preserve"> 30 V.S.A. </w:t>
      </w:r>
      <w:r w:rsidRPr="00A768B3">
        <w:t xml:space="preserve">§ </w:t>
      </w:r>
      <w:r>
        <w:t>8127(g)(2).</w:t>
      </w:r>
    </w:p>
  </w:footnote>
  <w:footnote w:id="5">
    <w:p w14:paraId="51ADB2F1" w14:textId="0AE94EC1" w:rsidR="00C04969" w:rsidRDefault="00C04969">
      <w:pPr>
        <w:pStyle w:val="FootnoteText"/>
      </w:pPr>
      <w:r>
        <w:rPr>
          <w:rStyle w:val="FootnoteReference"/>
        </w:rPr>
        <w:footnoteRef/>
      </w:r>
      <w:r>
        <w:t xml:space="preserve"> The fuels we analyzed are broadly in line with fuels presented in the previously delivered “VT CHS Measure List,” as well as the fuels itemized in the June 10 “VT CHS Lifecycle Emissions Methodology Memo,” but include several additions based on comments from the TAG, as well as clarifications around the details of the fuels we analyzed.</w:t>
      </w:r>
    </w:p>
  </w:footnote>
  <w:footnote w:id="6">
    <w:p w14:paraId="0131FE1D" w14:textId="171F15F7" w:rsidR="00C04969" w:rsidRDefault="00C04969" w:rsidP="00C04969">
      <w:pPr>
        <w:pStyle w:val="FootnoteText"/>
      </w:pPr>
      <w:r>
        <w:rPr>
          <w:rStyle w:val="FootnoteReference"/>
        </w:rPr>
        <w:footnoteRef/>
      </w:r>
      <w:r>
        <w:t xml:space="preserve"> Upstream </w:t>
      </w:r>
      <w:r w:rsidRPr="00D51456">
        <w:t>emissions, also referred to as embodied carbon</w:t>
      </w:r>
      <w:r>
        <w:t xml:space="preserve">, include GHG emissions directly associated with fuel production, such as resource extraction and fuel upgrading. We exclude emissions from extraneous activities, such as manufacturing of equipment used in </w:t>
      </w:r>
      <w:r w:rsidR="004F1E7A">
        <w:t xml:space="preserve">transportation </w:t>
      </w:r>
      <w:r>
        <w:t>of fuels.</w:t>
      </w:r>
    </w:p>
  </w:footnote>
  <w:footnote w:id="7">
    <w:p w14:paraId="75EE4904" w14:textId="77777777" w:rsidR="00C04969" w:rsidRDefault="00C04969" w:rsidP="00C04969">
      <w:pPr>
        <w:pStyle w:val="FootnoteText"/>
      </w:pPr>
      <w:r>
        <w:rPr>
          <w:rStyle w:val="FootnoteReference"/>
        </w:rPr>
        <w:footnoteRef/>
      </w:r>
      <w:r>
        <w:t xml:space="preserve"> </w:t>
      </w:r>
      <w:r w:rsidRPr="00536A9B">
        <w:t>Argonne National Laboratory. (202</w:t>
      </w:r>
      <w:r>
        <w:t>4</w:t>
      </w:r>
      <w:r w:rsidRPr="00536A9B">
        <w:t>). The Greenhouse gases, Regulated Emissions, and Energy use in Technologies Model (202</w:t>
      </w:r>
      <w:r>
        <w:t>3</w:t>
      </w:r>
      <w:r w:rsidRPr="00536A9B">
        <w:t xml:space="preserve"> rev1).</w:t>
      </w:r>
      <w:r>
        <w:t xml:space="preserve"> Accessed at: </w:t>
      </w:r>
      <w:hyperlink r:id="rId1" w:history="1">
        <w:r w:rsidRPr="00536A9B">
          <w:rPr>
            <w:rStyle w:val="Hyperlink"/>
            <w:rFonts w:ascii="Franklin Gothic Book" w:hAnsi="Franklin Gothic Book"/>
            <w:noProof w:val="0"/>
            <w:sz w:val="18"/>
          </w:rPr>
          <w:t>https://greet.anl.gov/</w:t>
        </w:r>
      </w:hyperlink>
      <w:r>
        <w:t xml:space="preserve"> </w:t>
      </w:r>
    </w:p>
  </w:footnote>
  <w:footnote w:id="8">
    <w:p w14:paraId="51741E48" w14:textId="77777777" w:rsidR="00C04969" w:rsidRDefault="00C04969" w:rsidP="00C04969">
      <w:pPr>
        <w:pStyle w:val="FootnoteText"/>
      </w:pPr>
      <w:r>
        <w:rPr>
          <w:rStyle w:val="FootnoteReference"/>
        </w:rPr>
        <w:footnoteRef/>
      </w:r>
      <w:r>
        <w:t xml:space="preserve"> U.S. Environmental Protection Agency (2024). 2024 GHG Emissions Factors Hub. Accessed at: </w:t>
      </w:r>
      <w:hyperlink r:id="rId2" w:history="1">
        <w:r w:rsidRPr="00FA39E3">
          <w:rPr>
            <w:rStyle w:val="Hyperlink"/>
            <w:rFonts w:ascii="Franklin Gothic Book" w:hAnsi="Franklin Gothic Book"/>
            <w:noProof w:val="0"/>
            <w:sz w:val="18"/>
          </w:rPr>
          <w:t>https://www.epa.gov/climateleadership/ghg-emission-factors-hub</w:t>
        </w:r>
      </w:hyperlink>
      <w:r>
        <w:t xml:space="preserve"> </w:t>
      </w:r>
    </w:p>
  </w:footnote>
  <w:footnote w:id="9">
    <w:p w14:paraId="6EBA90E3" w14:textId="77777777" w:rsidR="00C04969" w:rsidRDefault="00C04969" w:rsidP="00C04969">
      <w:pPr>
        <w:pStyle w:val="FootnoteText"/>
      </w:pPr>
      <w:r>
        <w:rPr>
          <w:rStyle w:val="FootnoteReference"/>
        </w:rPr>
        <w:footnoteRef/>
      </w:r>
      <w:r>
        <w:t xml:space="preserve"> </w:t>
      </w:r>
      <w:r w:rsidRPr="00A11AE3">
        <w:t>Eastern Research Group, Inc.</w:t>
      </w:r>
      <w:r>
        <w:t xml:space="preserve"> (2024). </w:t>
      </w:r>
      <w:r w:rsidRPr="00A11AE3">
        <w:t>Vermont Energy Sector Life Cycle Assessment</w:t>
      </w:r>
      <w:r>
        <w:t>. Prepared for the VT Agency of Natural Resources. April 30, 2024.</w:t>
      </w:r>
    </w:p>
  </w:footnote>
  <w:footnote w:id="10">
    <w:p w14:paraId="6E17247B" w14:textId="70FC79D3" w:rsidR="009D7678" w:rsidRDefault="009D7678">
      <w:pPr>
        <w:pStyle w:val="FootnoteText"/>
      </w:pPr>
      <w:r>
        <w:rPr>
          <w:rStyle w:val="FootnoteReference"/>
        </w:rPr>
        <w:footnoteRef/>
      </w:r>
      <w:r>
        <w:t xml:space="preserve"> </w:t>
      </w:r>
      <w:r w:rsidRPr="009D7678">
        <w:t xml:space="preserve">Vermont Agency of Natural Resources (2024). Vermont Greenhouse Gas Emissions Inventory and Forecast: Methodologies. Accessed at: </w:t>
      </w:r>
      <w:hyperlink r:id="rId3" w:history="1">
        <w:r w:rsidR="009A23D2" w:rsidRPr="009A44D7">
          <w:rPr>
            <w:rStyle w:val="Hyperlink"/>
            <w:rFonts w:ascii="Franklin Gothic Book" w:hAnsi="Franklin Gothic Book"/>
            <w:noProof w:val="0"/>
            <w:sz w:val="18"/>
          </w:rPr>
          <w:t>https://outside.vermont.gov/agency/anr/climatecouncil/Shared%20Documents/1990-2021_GHG_Inventory_Uploads/_Methodology_Vermont_Greenhouse_Gas_Emissions_Inventory_1990-2021_Final.pdf</w:t>
        </w:r>
      </w:hyperlink>
      <w:r w:rsidR="009A23D2">
        <w:t xml:space="preserve"> </w:t>
      </w:r>
    </w:p>
  </w:footnote>
  <w:footnote w:id="11">
    <w:p w14:paraId="0655416A" w14:textId="77777777" w:rsidR="00C04969" w:rsidRDefault="00C04969" w:rsidP="00C04969">
      <w:pPr>
        <w:pStyle w:val="FootnoteText"/>
      </w:pPr>
      <w:r>
        <w:rPr>
          <w:rStyle w:val="FootnoteReference"/>
        </w:rPr>
        <w:footnoteRef/>
      </w:r>
      <w:r>
        <w:t xml:space="preserve"> Sustainable Energy Advantage, LLC. (2023). Technical Analysis of a 100% Renewable or Clean Energy Standard: </w:t>
      </w:r>
      <w:proofErr w:type="gramStart"/>
      <w:r>
        <w:t>Final Results</w:t>
      </w:r>
      <w:proofErr w:type="gramEnd"/>
      <w:r>
        <w:t xml:space="preserve">. November 27, 2023. Accessed at: </w:t>
      </w:r>
      <w:hyperlink r:id="rId4" w:history="1">
        <w:r w:rsidRPr="00042FC3">
          <w:rPr>
            <w:rStyle w:val="Hyperlink"/>
            <w:rFonts w:ascii="Franklin Gothic Book" w:hAnsi="Franklin Gothic Book"/>
            <w:noProof w:val="0"/>
            <w:sz w:val="18"/>
          </w:rPr>
          <w:t>https://publicservice.vermont.gov/sites/dps/files/documents/VT%20RES%20Technical%20Analysis%20Final%20Report%2011.27.23.pdf</w:t>
        </w:r>
      </w:hyperlink>
      <w:r>
        <w:t xml:space="preserve"> </w:t>
      </w:r>
    </w:p>
  </w:footnote>
  <w:footnote w:id="12">
    <w:p w14:paraId="06C8E7A3" w14:textId="336931E1" w:rsidR="00D26DF1" w:rsidRPr="00D26DF1" w:rsidRDefault="00D26DF1">
      <w:pPr>
        <w:pStyle w:val="FootnoteText"/>
      </w:pPr>
      <w:r>
        <w:rPr>
          <w:rStyle w:val="FootnoteReference"/>
        </w:rPr>
        <w:footnoteRef/>
      </w:r>
      <w:r>
        <w:t xml:space="preserve"> </w:t>
      </w:r>
      <w:r w:rsidRPr="00D26DF1">
        <w:t>CH</w:t>
      </w:r>
      <w:r w:rsidRPr="00D101AA">
        <w:rPr>
          <w:vertAlign w:val="subscript"/>
        </w:rPr>
        <w:t>4</w:t>
      </w:r>
      <w:r w:rsidRPr="00D26DF1">
        <w:t xml:space="preserve"> emissions have a GWP of 28 and N</w:t>
      </w:r>
      <w:r w:rsidRPr="00D101AA">
        <w:rPr>
          <w:vertAlign w:val="subscript"/>
        </w:rPr>
        <w:t>2</w:t>
      </w:r>
      <w:r w:rsidRPr="00D26DF1">
        <w:t>O emissions have a GWP of 265.</w:t>
      </w:r>
    </w:p>
  </w:footnote>
  <w:footnote w:id="13">
    <w:p w14:paraId="61DD951B" w14:textId="4E197286" w:rsidR="00D101AA" w:rsidRDefault="00D101AA">
      <w:pPr>
        <w:pStyle w:val="FootnoteText"/>
      </w:pPr>
      <w:r>
        <w:rPr>
          <w:rStyle w:val="FootnoteReference"/>
        </w:rPr>
        <w:footnoteRef/>
      </w:r>
      <w:r>
        <w:t xml:space="preserve"> </w:t>
      </w:r>
      <w:r w:rsidRPr="00A11AE3">
        <w:t>Eastern Research Group, Inc.</w:t>
      </w:r>
      <w:r>
        <w:t xml:space="preserve"> (2024). </w:t>
      </w:r>
      <w:r w:rsidRPr="00A11AE3">
        <w:t>Vermont Energy Sector Life Cycle Assessment</w:t>
      </w:r>
      <w:r>
        <w:t>. Prepared for the VT Agency of Natural Resources. April 30, 2024.</w:t>
      </w:r>
    </w:p>
  </w:footnote>
  <w:footnote w:id="14">
    <w:p w14:paraId="582C2B07" w14:textId="2128DCF7" w:rsidR="0025719A" w:rsidRDefault="0025719A">
      <w:pPr>
        <w:pStyle w:val="FootnoteText"/>
      </w:pPr>
      <w:r>
        <w:rPr>
          <w:rStyle w:val="FootnoteReference"/>
        </w:rPr>
        <w:footnoteRef/>
      </w:r>
      <w:r>
        <w:t xml:space="preserve"> Our analysis assumes that 100% renewable means truly 100% renewable including all marginal electricity supply.</w:t>
      </w:r>
    </w:p>
  </w:footnote>
  <w:footnote w:id="15">
    <w:p w14:paraId="0163BE87" w14:textId="77777777" w:rsidR="0025719A" w:rsidRDefault="0025719A" w:rsidP="0025719A">
      <w:pPr>
        <w:pStyle w:val="FootnoteText"/>
      </w:pPr>
      <w:r>
        <w:rPr>
          <w:rStyle w:val="FootnoteReference"/>
        </w:rPr>
        <w:footnoteRef/>
      </w:r>
      <w:r>
        <w:t xml:space="preserve"> Sustainable Energy Advantage, LLC. (2023). Technical Analysis of a 100% Renewable or Clean Energy Standard: </w:t>
      </w:r>
      <w:proofErr w:type="gramStart"/>
      <w:r>
        <w:t>Final Results</w:t>
      </w:r>
      <w:proofErr w:type="gramEnd"/>
      <w:r>
        <w:t xml:space="preserve">. November 27, 2023. Accessed at: </w:t>
      </w:r>
      <w:hyperlink r:id="rId5" w:history="1">
        <w:r w:rsidRPr="00042FC3">
          <w:rPr>
            <w:rStyle w:val="Hyperlink"/>
            <w:rFonts w:ascii="Franklin Gothic Book" w:hAnsi="Franklin Gothic Book"/>
            <w:noProof w:val="0"/>
            <w:sz w:val="18"/>
          </w:rPr>
          <w:t>https://publicservice.vermont.gov/sites/dps/files/documents/VT%20RES%20Technical%20Analysis%20Final%20Report%2011.27.23.pdf</w:t>
        </w:r>
      </w:hyperlink>
      <w:r>
        <w:t xml:space="preserve"> </w:t>
      </w:r>
    </w:p>
  </w:footnote>
  <w:footnote w:id="16">
    <w:p w14:paraId="3B4FB4DD" w14:textId="77777777" w:rsidR="00D101AA" w:rsidRDefault="00D101AA" w:rsidP="00D101AA">
      <w:pPr>
        <w:pStyle w:val="FootnoteText"/>
      </w:pPr>
      <w:r>
        <w:rPr>
          <w:rStyle w:val="FootnoteReference"/>
        </w:rPr>
        <w:footnoteRef/>
      </w:r>
      <w:r>
        <w:t xml:space="preserve"> </w:t>
      </w:r>
      <w:r w:rsidRPr="00A11AE3">
        <w:t>Eastern Research Group, Inc.</w:t>
      </w:r>
      <w:r>
        <w:t xml:space="preserve"> (2024). </w:t>
      </w:r>
      <w:r w:rsidRPr="00A11AE3">
        <w:t>Vermont Energy Sector Life Cycle Assessment</w:t>
      </w:r>
      <w:r>
        <w:t>. Prepared for the VT Agency of Natural Resources. April 30, 2024.</w:t>
      </w:r>
    </w:p>
  </w:footnote>
  <w:footnote w:id="17">
    <w:p w14:paraId="1972115B" w14:textId="197DA8F9" w:rsidR="00D30AE8" w:rsidRDefault="00D30AE8" w:rsidP="00D30AE8">
      <w:pPr>
        <w:pStyle w:val="FootnoteText"/>
      </w:pPr>
      <w:r>
        <w:rPr>
          <w:rStyle w:val="FootnoteReference"/>
        </w:rPr>
        <w:footnoteRef/>
      </w:r>
      <w:r>
        <w:t xml:space="preserve"> </w:t>
      </w:r>
      <w:r w:rsidR="00CB7BD7">
        <w:t>Ibid.</w:t>
      </w:r>
    </w:p>
  </w:footnote>
  <w:footnote w:id="18">
    <w:p w14:paraId="39219A0B" w14:textId="4DD7812B" w:rsidR="00D30AE8" w:rsidRDefault="00D30AE8">
      <w:pPr>
        <w:pStyle w:val="FootnoteText"/>
      </w:pPr>
      <w:r>
        <w:rPr>
          <w:rStyle w:val="FootnoteReference"/>
        </w:rPr>
        <w:footnoteRef/>
      </w:r>
      <w:r>
        <w:t xml:space="preserve"> U.S. Environmental Protection Agency (2024). 2024 GHG Emissions Factors Hub. Accessed at: </w:t>
      </w:r>
      <w:hyperlink r:id="rId6" w:history="1">
        <w:r w:rsidRPr="00FA39E3">
          <w:rPr>
            <w:rStyle w:val="Hyperlink"/>
            <w:rFonts w:ascii="Franklin Gothic Book" w:hAnsi="Franklin Gothic Book"/>
            <w:noProof w:val="0"/>
            <w:sz w:val="18"/>
          </w:rPr>
          <w:t>https://www.epa.gov/climateleadership/ghg-emission-factors-hub</w:t>
        </w:r>
      </w:hyperlink>
    </w:p>
  </w:footnote>
  <w:footnote w:id="19">
    <w:p w14:paraId="3BEEBE97" w14:textId="64699E94" w:rsidR="00ED2B49" w:rsidRDefault="00ED2B49" w:rsidP="00ED2B49">
      <w:pPr>
        <w:pStyle w:val="FootnoteText"/>
      </w:pPr>
      <w:r>
        <w:rPr>
          <w:rStyle w:val="FootnoteReference"/>
        </w:rPr>
        <w:footnoteRef/>
      </w:r>
      <w:r>
        <w:t xml:space="preserve"> </w:t>
      </w:r>
      <w:r w:rsidR="00AC4369" w:rsidRPr="00A11AE3">
        <w:t>Eastern Research Group, Inc.</w:t>
      </w:r>
      <w:r w:rsidR="00AC4369">
        <w:t xml:space="preserve"> (2024). </w:t>
      </w:r>
      <w:r w:rsidR="00AC4369" w:rsidRPr="00A11AE3">
        <w:t>Vermont Energy Sector Life Cycle Assessment</w:t>
      </w:r>
      <w:r w:rsidR="00AC4369">
        <w:t>. Prepared for the VT Agency of Natural Resources. April 30, 2024.</w:t>
      </w:r>
    </w:p>
  </w:footnote>
  <w:footnote w:id="20">
    <w:p w14:paraId="06FDD618" w14:textId="66EB0811" w:rsidR="00ED2B49" w:rsidRDefault="00ED2B49" w:rsidP="00ED2B49">
      <w:pPr>
        <w:pStyle w:val="FootnoteText"/>
      </w:pPr>
      <w:r>
        <w:rPr>
          <w:rStyle w:val="FootnoteReference"/>
        </w:rPr>
        <w:footnoteRef/>
      </w:r>
      <w:r>
        <w:t xml:space="preserve"> </w:t>
      </w:r>
      <w:r w:rsidR="00AC4369">
        <w:t>Ibid.</w:t>
      </w:r>
    </w:p>
  </w:footnote>
  <w:footnote w:id="21">
    <w:p w14:paraId="556D48C7" w14:textId="77777777" w:rsidR="001D2DDA" w:rsidRDefault="001D2DDA" w:rsidP="001D2DDA">
      <w:pPr>
        <w:pStyle w:val="FootnoteText"/>
      </w:pPr>
      <w:r>
        <w:rPr>
          <w:rStyle w:val="FootnoteReference"/>
        </w:rPr>
        <w:footnoteRef/>
      </w:r>
      <w:r>
        <w:t xml:space="preserve"> U.S. Environmental Protection Agency (2024). 2024 GHG Emissions Factors Hub. Accessed at: </w:t>
      </w:r>
      <w:hyperlink r:id="rId7" w:history="1">
        <w:r w:rsidRPr="00FA39E3">
          <w:rPr>
            <w:rStyle w:val="Hyperlink"/>
            <w:rFonts w:ascii="Franklin Gothic Book" w:hAnsi="Franklin Gothic Book"/>
            <w:noProof w:val="0"/>
            <w:sz w:val="18"/>
          </w:rPr>
          <w:t>https://www.epa.gov/climateleadership/ghg-emission-factors-hub</w:t>
        </w:r>
      </w:hyperlink>
    </w:p>
  </w:footnote>
  <w:footnote w:id="22">
    <w:p w14:paraId="5A886907" w14:textId="77777777" w:rsidR="00FE27DD" w:rsidRDefault="00FE27DD" w:rsidP="00FE27DD">
      <w:pPr>
        <w:pStyle w:val="FootnoteText"/>
      </w:pPr>
      <w:r>
        <w:rPr>
          <w:rStyle w:val="FootnoteReference"/>
        </w:rPr>
        <w:footnoteRef/>
      </w:r>
      <w:r>
        <w:t xml:space="preserve"> Vermont Agency of Natural Resources (2024). Vermont Greenhouse Gas Emissions Inventory and Forecast: Methodologies. Accessed at: </w:t>
      </w:r>
      <w:hyperlink r:id="rId8" w:history="1">
        <w:r w:rsidRPr="00A24A38">
          <w:rPr>
            <w:rStyle w:val="Hyperlink"/>
            <w:rFonts w:ascii="Franklin Gothic Book" w:hAnsi="Franklin Gothic Book"/>
            <w:noProof w:val="0"/>
            <w:sz w:val="18"/>
          </w:rPr>
          <w:t>https://outside.vermont.gov/agency/anr/climatecouncil/Shared%20Documents/1990-2021_GHG_Inventory_Uploads/_Methodology_Vermont_Greenhouse_Gas_Emissions_Inventory_1990-2021_Final.pdf</w:t>
        </w:r>
      </w:hyperlink>
      <w:r>
        <w:t xml:space="preserve"> </w:t>
      </w:r>
    </w:p>
  </w:footnote>
  <w:footnote w:id="23">
    <w:p w14:paraId="62BE1429" w14:textId="3302A68D" w:rsidR="002B355A" w:rsidRDefault="002B355A">
      <w:pPr>
        <w:pStyle w:val="FootnoteText"/>
      </w:pPr>
      <w:r>
        <w:rPr>
          <w:rStyle w:val="FootnoteReference"/>
        </w:rPr>
        <w:footnoteRef/>
      </w:r>
      <w:r>
        <w:t xml:space="preserve"> Our analysis </w:t>
      </w:r>
      <w:r w:rsidR="00AC3AD1">
        <w:t xml:space="preserve">assumed an equal share of spruce and pine woods from a cool temperate region. The </w:t>
      </w:r>
      <w:proofErr w:type="spellStart"/>
      <w:r w:rsidR="00AC3AD1">
        <w:t>GWP</w:t>
      </w:r>
      <w:r w:rsidR="00AC3AD1" w:rsidRPr="00BF11F3">
        <w:rPr>
          <w:vertAlign w:val="subscript"/>
        </w:rPr>
        <w:t>bio</w:t>
      </w:r>
      <w:proofErr w:type="spellEnd"/>
      <w:r w:rsidR="00AC3AD1">
        <w:t xml:space="preserve"> tool can be found at: </w:t>
      </w:r>
      <w:hyperlink r:id="rId9" w:history="1">
        <w:r w:rsidR="00DB3F21" w:rsidRPr="009A44D7">
          <w:rPr>
            <w:rStyle w:val="Hyperlink"/>
            <w:rFonts w:ascii="Franklin Gothic Book" w:hAnsi="Franklin Gothic Book"/>
            <w:noProof w:val="0"/>
            <w:sz w:val="18"/>
          </w:rPr>
          <w:t>https://files.worldwildlife.org/wwfcmsprod/misc/climate_forest/Biogenic_Carbon_Footprint_Calculator_2020.xlsx</w:t>
        </w:r>
      </w:hyperlink>
      <w:r w:rsidR="00DB3F21">
        <w:t xml:space="preserve"> </w:t>
      </w:r>
    </w:p>
  </w:footnote>
  <w:footnote w:id="24">
    <w:p w14:paraId="37103F30" w14:textId="06BB1CBC" w:rsidR="00CD7FE7" w:rsidRDefault="00CD7FE7">
      <w:pPr>
        <w:pStyle w:val="FootnoteText"/>
      </w:pPr>
      <w:r>
        <w:rPr>
          <w:rStyle w:val="FootnoteReference"/>
        </w:rPr>
        <w:footnoteRef/>
      </w:r>
      <w:r>
        <w:t xml:space="preserve"> </w:t>
      </w:r>
      <w:r w:rsidRPr="00A11AE3">
        <w:t>Eastern Research Group, Inc.</w:t>
      </w:r>
      <w:r>
        <w:t xml:space="preserve"> (2024). </w:t>
      </w:r>
      <w:r w:rsidRPr="00A11AE3">
        <w:t>Vermont Energy Sector Life Cycle Assessment</w:t>
      </w:r>
      <w:r>
        <w:t>. Prepared for the VT Agency of Natural Resources. April 30,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B90DF" w14:textId="77777777" w:rsidR="0040139D" w:rsidRDefault="000D4AB9" w:rsidP="00AE2204">
    <w:r>
      <w:rPr>
        <w:noProof/>
      </w:rPr>
      <w:drawing>
        <wp:anchor distT="0" distB="0" distL="114300" distR="114300" simplePos="0" relativeHeight="251659264" behindDoc="0" locked="1" layoutInCell="1" allowOverlap="1" wp14:anchorId="69C3D67C" wp14:editId="190845FD">
          <wp:simplePos x="0" y="0"/>
          <wp:positionH relativeFrom="page">
            <wp:posOffset>0</wp:posOffset>
          </wp:positionH>
          <wp:positionV relativeFrom="page">
            <wp:posOffset>0</wp:posOffset>
          </wp:positionV>
          <wp:extent cx="7896225" cy="266700"/>
          <wp:effectExtent l="0" t="0" r="9525" b="0"/>
          <wp:wrapThrough wrapText="bothSides">
            <wp:wrapPolygon edited="0">
              <wp:start x="0" y="0"/>
              <wp:lineTo x="0" y="20057"/>
              <wp:lineTo x="21574" y="20057"/>
              <wp:lineTo x="21574" y="0"/>
              <wp:lineTo x="0" y="0"/>
            </wp:wrapPolygon>
          </wp:wrapThrough>
          <wp:docPr id="230441103" name="Picture 230441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441103"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7896225" cy="2667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95A02" w14:textId="77777777" w:rsidR="00E842FE" w:rsidRDefault="000D4AB9">
    <w:r>
      <w:rPr>
        <w:noProof/>
      </w:rPr>
      <w:drawing>
        <wp:anchor distT="0" distB="0" distL="114300" distR="114300" simplePos="0" relativeHeight="251658240" behindDoc="0" locked="1" layoutInCell="1" allowOverlap="1" wp14:anchorId="6D71C6CF" wp14:editId="40E4F37A">
          <wp:simplePos x="0" y="0"/>
          <wp:positionH relativeFrom="page">
            <wp:posOffset>0</wp:posOffset>
          </wp:positionH>
          <wp:positionV relativeFrom="page">
            <wp:posOffset>0</wp:posOffset>
          </wp:positionV>
          <wp:extent cx="7896225" cy="266700"/>
          <wp:effectExtent l="0" t="0" r="9525" b="0"/>
          <wp:wrapThrough wrapText="bothSides">
            <wp:wrapPolygon edited="0">
              <wp:start x="0" y="0"/>
              <wp:lineTo x="0" y="20057"/>
              <wp:lineTo x="21574" y="20057"/>
              <wp:lineTo x="21574" y="0"/>
              <wp:lineTo x="0" y="0"/>
            </wp:wrapPolygon>
          </wp:wrapThrough>
          <wp:docPr id="981587770" name="Picture 981587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58777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7896225" cy="2667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404F9" w14:textId="17773723" w:rsidR="00C6101B" w:rsidRDefault="00C6101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BABCF" w14:textId="77777777" w:rsidR="00A53C8F" w:rsidRDefault="00A53C8F" w:rsidP="00AE2204">
    <w:r>
      <w:rPr>
        <w:noProof/>
      </w:rPr>
      <w:drawing>
        <wp:anchor distT="0" distB="0" distL="114300" distR="114300" simplePos="0" relativeHeight="251661312" behindDoc="0" locked="1" layoutInCell="1" allowOverlap="1" wp14:anchorId="3A7673E9" wp14:editId="6D4997C5">
          <wp:simplePos x="0" y="0"/>
          <wp:positionH relativeFrom="page">
            <wp:posOffset>0</wp:posOffset>
          </wp:positionH>
          <wp:positionV relativeFrom="page">
            <wp:posOffset>0</wp:posOffset>
          </wp:positionV>
          <wp:extent cx="7896225" cy="266700"/>
          <wp:effectExtent l="0" t="0" r="9525" b="0"/>
          <wp:wrapThrough wrapText="bothSides">
            <wp:wrapPolygon edited="0">
              <wp:start x="0" y="0"/>
              <wp:lineTo x="0" y="20057"/>
              <wp:lineTo x="21574" y="20057"/>
              <wp:lineTo x="21574"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7896225" cy="2667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D3C361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75F80716"/>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172B54" w:themeColor="accent1"/>
      </w:rPr>
    </w:lvl>
    <w:lvl w:ilvl="7">
      <w:start w:val="1"/>
      <w:numFmt w:val="bullet"/>
      <w:lvlText w:val=""/>
      <w:lvlJc w:val="left"/>
      <w:pPr>
        <w:ind w:left="5760" w:hanging="360"/>
      </w:pPr>
      <w:rPr>
        <w:rFonts w:ascii="Wingdings" w:hAnsi="Wingdings" w:hint="default"/>
        <w:color w:val="265EAC" w:themeColor="accent2"/>
      </w:rPr>
    </w:lvl>
    <w:lvl w:ilvl="8">
      <w:start w:val="1"/>
      <w:numFmt w:val="bullet"/>
      <w:lvlText w:val=""/>
      <w:lvlJc w:val="left"/>
      <w:pPr>
        <w:ind w:left="6480" w:hanging="360"/>
      </w:pPr>
      <w:rPr>
        <w:rFonts w:ascii="Wingdings" w:hAnsi="Wingdings" w:hint="default"/>
        <w:color w:val="1FA9E1" w:themeColor="accent3"/>
      </w:rPr>
    </w:lvl>
  </w:abstractNum>
  <w:abstractNum w:abstractNumId="2" w15:restartNumberingAfterBreak="0">
    <w:nsid w:val="00000002"/>
    <w:multiLevelType w:val="multilevel"/>
    <w:tmpl w:val="75F80716"/>
    <w:lvl w:ilvl="0">
      <w:start w:val="1"/>
      <w:numFmt w:val="bullet"/>
      <w:pStyle w:val="Bullet2"/>
      <w:lvlText w:val=""/>
      <w:lvlJc w:val="left"/>
      <w:pPr>
        <w:ind w:left="720" w:hanging="360"/>
      </w:pPr>
      <w:rPr>
        <w:rFonts w:ascii="Wingdings" w:hAnsi="Wingdings" w:hint="default"/>
        <w:color w:val="053572"/>
        <w:sz w:val="22"/>
      </w:rPr>
    </w:lvl>
    <w:lvl w:ilvl="1">
      <w:start w:val="1"/>
      <w:numFmt w:val="bullet"/>
      <w:pStyle w:val="Bullet2"/>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172B54" w:themeColor="accent1"/>
      </w:rPr>
    </w:lvl>
    <w:lvl w:ilvl="7">
      <w:start w:val="1"/>
      <w:numFmt w:val="bullet"/>
      <w:lvlText w:val=""/>
      <w:lvlJc w:val="left"/>
      <w:pPr>
        <w:ind w:left="5760" w:hanging="360"/>
      </w:pPr>
      <w:rPr>
        <w:rFonts w:ascii="Wingdings" w:hAnsi="Wingdings" w:hint="default"/>
        <w:color w:val="265EAC" w:themeColor="accent2"/>
      </w:rPr>
    </w:lvl>
    <w:lvl w:ilvl="8">
      <w:start w:val="1"/>
      <w:numFmt w:val="bullet"/>
      <w:lvlText w:val=""/>
      <w:lvlJc w:val="left"/>
      <w:pPr>
        <w:ind w:left="6480" w:hanging="360"/>
      </w:pPr>
      <w:rPr>
        <w:rFonts w:ascii="Wingdings" w:hAnsi="Wingdings" w:hint="default"/>
        <w:color w:val="1FA9E1" w:themeColor="accent3"/>
      </w:rPr>
    </w:lvl>
  </w:abstractNum>
  <w:abstractNum w:abstractNumId="3" w15:restartNumberingAfterBreak="0">
    <w:nsid w:val="00000003"/>
    <w:multiLevelType w:val="multilevel"/>
    <w:tmpl w:val="75F80716"/>
    <w:lvl w:ilvl="0">
      <w:start w:val="1"/>
      <w:numFmt w:val="bullet"/>
      <w:lvlText w:val=""/>
      <w:lvlJc w:val="left"/>
      <w:pPr>
        <w:ind w:left="720" w:hanging="360"/>
      </w:pPr>
      <w:rPr>
        <w:rFonts w:ascii="Wingdings" w:hAnsi="Wingdings" w:hint="default"/>
        <w:color w:val="053572"/>
        <w:sz w:val="22"/>
      </w:rPr>
    </w:lvl>
    <w:lvl w:ilvl="1">
      <w:start w:val="1"/>
      <w:numFmt w:val="bullet"/>
      <w:pStyle w:val="Bullet3"/>
      <w:lvlText w:val=""/>
      <w:lvlJc w:val="left"/>
      <w:pPr>
        <w:ind w:left="1080" w:hanging="360"/>
      </w:pPr>
      <w:rPr>
        <w:rFonts w:ascii="Wingdings" w:hAnsi="Wingdings" w:hint="default"/>
        <w:color w:val="1295D8"/>
        <w:sz w:val="22"/>
      </w:rPr>
    </w:lvl>
    <w:lvl w:ilvl="2">
      <w:start w:val="1"/>
      <w:numFmt w:val="bullet"/>
      <w:lvlRestart w:val="0"/>
      <w:pStyle w:val="Bullet3"/>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172B54" w:themeColor="accent1"/>
      </w:rPr>
    </w:lvl>
    <w:lvl w:ilvl="7">
      <w:start w:val="1"/>
      <w:numFmt w:val="bullet"/>
      <w:lvlText w:val=""/>
      <w:lvlJc w:val="left"/>
      <w:pPr>
        <w:ind w:left="5760" w:hanging="360"/>
      </w:pPr>
      <w:rPr>
        <w:rFonts w:ascii="Wingdings" w:hAnsi="Wingdings" w:hint="default"/>
        <w:color w:val="265EAC" w:themeColor="accent2"/>
      </w:rPr>
    </w:lvl>
    <w:lvl w:ilvl="8">
      <w:start w:val="1"/>
      <w:numFmt w:val="bullet"/>
      <w:lvlText w:val=""/>
      <w:lvlJc w:val="left"/>
      <w:pPr>
        <w:ind w:left="6480" w:hanging="360"/>
      </w:pPr>
      <w:rPr>
        <w:rFonts w:ascii="Wingdings" w:hAnsi="Wingdings" w:hint="default"/>
        <w:color w:val="1FA9E1" w:themeColor="accent3"/>
      </w:rPr>
    </w:lvl>
  </w:abstractNum>
  <w:abstractNum w:abstractNumId="4" w15:restartNumberingAfterBreak="0">
    <w:nsid w:val="00000004"/>
    <w:multiLevelType w:val="hybridMultilevel"/>
    <w:tmpl w:val="1B8E5A38"/>
    <w:lvl w:ilvl="0" w:tplc="56E88874">
      <w:start w:val="1"/>
      <w:numFmt w:val="decimal"/>
      <w:pStyle w:val="CaptionFigure"/>
      <w:suff w:val="space"/>
      <w:lvlText w:val="Figure %1."/>
      <w:lvlJc w:val="left"/>
      <w:pPr>
        <w:ind w:left="0" w:firstLine="0"/>
      </w:pPr>
      <w:rPr>
        <w:rFonts w:hint="default"/>
      </w:rPr>
    </w:lvl>
    <w:lvl w:ilvl="1" w:tplc="4052086A" w:tentative="1">
      <w:start w:val="1"/>
      <w:numFmt w:val="lowerLetter"/>
      <w:lvlText w:val="%2."/>
      <w:lvlJc w:val="left"/>
      <w:pPr>
        <w:ind w:left="1440" w:hanging="360"/>
      </w:pPr>
    </w:lvl>
    <w:lvl w:ilvl="2" w:tplc="266A147A" w:tentative="1">
      <w:start w:val="1"/>
      <w:numFmt w:val="lowerRoman"/>
      <w:lvlText w:val="%3."/>
      <w:lvlJc w:val="right"/>
      <w:pPr>
        <w:ind w:left="2160" w:hanging="180"/>
      </w:pPr>
    </w:lvl>
    <w:lvl w:ilvl="3" w:tplc="DE64582A" w:tentative="1">
      <w:start w:val="1"/>
      <w:numFmt w:val="decimal"/>
      <w:lvlText w:val="%4."/>
      <w:lvlJc w:val="left"/>
      <w:pPr>
        <w:ind w:left="2880" w:hanging="360"/>
      </w:pPr>
    </w:lvl>
    <w:lvl w:ilvl="4" w:tplc="DD2C6B0A" w:tentative="1">
      <w:start w:val="1"/>
      <w:numFmt w:val="lowerLetter"/>
      <w:lvlText w:val="%5."/>
      <w:lvlJc w:val="left"/>
      <w:pPr>
        <w:ind w:left="3600" w:hanging="360"/>
      </w:pPr>
    </w:lvl>
    <w:lvl w:ilvl="5" w:tplc="C7382350" w:tentative="1">
      <w:start w:val="1"/>
      <w:numFmt w:val="lowerRoman"/>
      <w:lvlText w:val="%6."/>
      <w:lvlJc w:val="right"/>
      <w:pPr>
        <w:ind w:left="4320" w:hanging="180"/>
      </w:pPr>
    </w:lvl>
    <w:lvl w:ilvl="6" w:tplc="2A8EF032" w:tentative="1">
      <w:start w:val="1"/>
      <w:numFmt w:val="decimal"/>
      <w:lvlText w:val="%7."/>
      <w:lvlJc w:val="left"/>
      <w:pPr>
        <w:ind w:left="5040" w:hanging="360"/>
      </w:pPr>
    </w:lvl>
    <w:lvl w:ilvl="7" w:tplc="6068D17E" w:tentative="1">
      <w:start w:val="1"/>
      <w:numFmt w:val="lowerLetter"/>
      <w:lvlText w:val="%8."/>
      <w:lvlJc w:val="left"/>
      <w:pPr>
        <w:ind w:left="5760" w:hanging="360"/>
      </w:pPr>
    </w:lvl>
    <w:lvl w:ilvl="8" w:tplc="610C6D54" w:tentative="1">
      <w:start w:val="1"/>
      <w:numFmt w:val="lowerRoman"/>
      <w:lvlText w:val="%9."/>
      <w:lvlJc w:val="right"/>
      <w:pPr>
        <w:ind w:left="6480" w:hanging="180"/>
      </w:pPr>
    </w:lvl>
  </w:abstractNum>
  <w:abstractNum w:abstractNumId="5" w15:restartNumberingAfterBreak="0">
    <w:nsid w:val="00000005"/>
    <w:multiLevelType w:val="hybridMultilevel"/>
    <w:tmpl w:val="F0A220D0"/>
    <w:lvl w:ilvl="0" w:tplc="3DA8E5CE">
      <w:start w:val="1"/>
      <w:numFmt w:val="decimal"/>
      <w:pStyle w:val="CaptionTable"/>
      <w:suff w:val="space"/>
      <w:lvlText w:val="Table %1."/>
      <w:lvlJc w:val="left"/>
      <w:pPr>
        <w:ind w:left="0" w:firstLine="0"/>
      </w:pPr>
      <w:rPr>
        <w:rFonts w:hint="default"/>
      </w:rPr>
    </w:lvl>
    <w:lvl w:ilvl="1" w:tplc="9EAEE094" w:tentative="1">
      <w:start w:val="1"/>
      <w:numFmt w:val="lowerLetter"/>
      <w:lvlText w:val="%2."/>
      <w:lvlJc w:val="left"/>
      <w:pPr>
        <w:ind w:left="1440" w:hanging="360"/>
      </w:pPr>
    </w:lvl>
    <w:lvl w:ilvl="2" w:tplc="3ABA3FA6" w:tentative="1">
      <w:start w:val="1"/>
      <w:numFmt w:val="lowerRoman"/>
      <w:lvlText w:val="%3."/>
      <w:lvlJc w:val="right"/>
      <w:pPr>
        <w:ind w:left="2160" w:hanging="180"/>
      </w:pPr>
    </w:lvl>
    <w:lvl w:ilvl="3" w:tplc="3EEEB0EA" w:tentative="1">
      <w:start w:val="1"/>
      <w:numFmt w:val="decimal"/>
      <w:lvlText w:val="%4."/>
      <w:lvlJc w:val="left"/>
      <w:pPr>
        <w:ind w:left="2880" w:hanging="360"/>
      </w:pPr>
    </w:lvl>
    <w:lvl w:ilvl="4" w:tplc="7EAC3240" w:tentative="1">
      <w:start w:val="1"/>
      <w:numFmt w:val="lowerLetter"/>
      <w:lvlText w:val="%5."/>
      <w:lvlJc w:val="left"/>
      <w:pPr>
        <w:ind w:left="3600" w:hanging="360"/>
      </w:pPr>
    </w:lvl>
    <w:lvl w:ilvl="5" w:tplc="12E0921E" w:tentative="1">
      <w:start w:val="1"/>
      <w:numFmt w:val="lowerRoman"/>
      <w:lvlText w:val="%6."/>
      <w:lvlJc w:val="right"/>
      <w:pPr>
        <w:ind w:left="4320" w:hanging="180"/>
      </w:pPr>
    </w:lvl>
    <w:lvl w:ilvl="6" w:tplc="ED321540" w:tentative="1">
      <w:start w:val="1"/>
      <w:numFmt w:val="decimal"/>
      <w:lvlText w:val="%7."/>
      <w:lvlJc w:val="left"/>
      <w:pPr>
        <w:ind w:left="5040" w:hanging="360"/>
      </w:pPr>
    </w:lvl>
    <w:lvl w:ilvl="7" w:tplc="BF861E44" w:tentative="1">
      <w:start w:val="1"/>
      <w:numFmt w:val="lowerLetter"/>
      <w:lvlText w:val="%8."/>
      <w:lvlJc w:val="left"/>
      <w:pPr>
        <w:ind w:left="5760" w:hanging="360"/>
      </w:pPr>
    </w:lvl>
    <w:lvl w:ilvl="8" w:tplc="727A35E4" w:tentative="1">
      <w:start w:val="1"/>
      <w:numFmt w:val="lowerRoman"/>
      <w:lvlText w:val="%9."/>
      <w:lvlJc w:val="right"/>
      <w:pPr>
        <w:ind w:left="6480" w:hanging="180"/>
      </w:pPr>
    </w:lvl>
  </w:abstractNum>
  <w:abstractNum w:abstractNumId="6" w15:restartNumberingAfterBreak="0">
    <w:nsid w:val="00000006"/>
    <w:multiLevelType w:val="multilevel"/>
    <w:tmpl w:val="7694A4F6"/>
    <w:lvl w:ilvl="0">
      <w:start w:val="1"/>
      <w:numFmt w:val="decimal"/>
      <w:lvlText w:val="%1."/>
      <w:lvlJc w:val="left"/>
      <w:pPr>
        <w:tabs>
          <w:tab w:val="num" w:pos="1080"/>
        </w:tabs>
        <w:ind w:left="0" w:firstLine="0"/>
      </w:pPr>
      <w:rPr>
        <w:rFonts w:hint="default"/>
      </w:rPr>
    </w:lvl>
    <w:lvl w:ilvl="1">
      <w:start w:val="1"/>
      <w:numFmt w:val="decimal"/>
      <w:lvlText w:val="%1.%2"/>
      <w:lvlJc w:val="left"/>
      <w:pPr>
        <w:tabs>
          <w:tab w:val="num" w:pos="1080"/>
        </w:tabs>
        <w:ind w:left="0" w:firstLine="0"/>
      </w:pPr>
    </w:lvl>
    <w:lvl w:ilvl="2">
      <w:start w:val="1"/>
      <w:numFmt w:val="decimal"/>
      <w:lvlText w:val="%1.%2.%3"/>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color w:val="265EAC" w:themeColor="accent2"/>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lvlText w:val="%1.%2.%3.%4"/>
      <w:lvlJc w:val="left"/>
      <w:pPr>
        <w:tabs>
          <w:tab w:val="num" w:pos="360"/>
        </w:tabs>
        <w:ind w:left="0" w:firstLine="0"/>
      </w:pPr>
      <w:rPr>
        <w:rFonts w:hint="default"/>
      </w:rPr>
    </w:lvl>
    <w:lvl w:ilvl="4">
      <w:start w:val="1"/>
      <w:numFmt w:val="decimal"/>
      <w:lvlText w:val="%1.%2.%3.%4.%5"/>
      <w:lvlJc w:val="left"/>
      <w:pPr>
        <w:tabs>
          <w:tab w:val="num" w:pos="360"/>
        </w:tabs>
        <w:ind w:left="0" w:firstLine="0"/>
      </w:pPr>
      <w:rPr>
        <w:rFonts w:hint="default"/>
      </w:rPr>
    </w:lvl>
    <w:lvl w:ilvl="5">
      <w:start w:val="1"/>
      <w:numFmt w:val="decimal"/>
      <w:lvlText w:val="%1.%2.%3.%4.%5.%6"/>
      <w:lvlJc w:val="left"/>
      <w:pPr>
        <w:tabs>
          <w:tab w:val="num" w:pos="360"/>
        </w:tabs>
        <w:ind w:left="0" w:firstLine="0"/>
      </w:pPr>
      <w:rPr>
        <w:rFonts w:hint="default"/>
      </w:rPr>
    </w:lvl>
    <w:lvl w:ilvl="6">
      <w:start w:val="1"/>
      <w:numFmt w:val="decimal"/>
      <w:lvlText w:val="%1.%2.%3.%4.%5.%6.%7"/>
      <w:lvlJc w:val="left"/>
      <w:pPr>
        <w:tabs>
          <w:tab w:val="num" w:pos="360"/>
        </w:tabs>
        <w:ind w:left="0" w:firstLine="0"/>
      </w:pPr>
      <w:rPr>
        <w:rFonts w:hint="default"/>
      </w:rPr>
    </w:lvl>
    <w:lvl w:ilvl="7">
      <w:start w:val="1"/>
      <w:numFmt w:val="decimal"/>
      <w:lvlText w:val="%1.%2.%3.%4.%5.%6.%7.%8"/>
      <w:lvlJc w:val="left"/>
      <w:pPr>
        <w:tabs>
          <w:tab w:val="num" w:pos="360"/>
        </w:tabs>
        <w:ind w:left="0" w:firstLine="0"/>
      </w:pPr>
      <w:rPr>
        <w:rFonts w:hint="default"/>
      </w:rPr>
    </w:lvl>
    <w:lvl w:ilvl="8">
      <w:start w:val="1"/>
      <w:numFmt w:val="decimal"/>
      <w:lvlText w:val="%1.%2.%3.%4.%5.%6.%7.%8.%9"/>
      <w:lvlJc w:val="left"/>
      <w:pPr>
        <w:tabs>
          <w:tab w:val="num" w:pos="360"/>
        </w:tabs>
        <w:ind w:left="0" w:firstLine="0"/>
      </w:pPr>
      <w:rPr>
        <w:rFonts w:hint="default"/>
      </w:rPr>
    </w:lvl>
  </w:abstractNum>
  <w:abstractNum w:abstractNumId="7" w15:restartNumberingAfterBreak="0">
    <w:nsid w:val="00000009"/>
    <w:multiLevelType w:val="singleLevel"/>
    <w:tmpl w:val="01A6B67E"/>
    <w:lvl w:ilvl="0">
      <w:start w:val="1"/>
      <w:numFmt w:val="decimal"/>
      <w:pStyle w:val="ListNumber"/>
      <w:lvlText w:val="%1."/>
      <w:lvlJc w:val="left"/>
      <w:pPr>
        <w:tabs>
          <w:tab w:val="num" w:pos="360"/>
        </w:tabs>
        <w:ind w:left="360" w:hanging="360"/>
      </w:pPr>
    </w:lvl>
  </w:abstractNum>
  <w:abstractNum w:abstractNumId="8" w15:restartNumberingAfterBreak="0">
    <w:nsid w:val="0000000A"/>
    <w:multiLevelType w:val="singleLevel"/>
    <w:tmpl w:val="AB1A98D2"/>
    <w:lvl w:ilvl="0">
      <w:start w:val="1"/>
      <w:numFmt w:val="decimal"/>
      <w:pStyle w:val="ListNumber2"/>
      <w:lvlText w:val="%1."/>
      <w:lvlJc w:val="left"/>
      <w:pPr>
        <w:tabs>
          <w:tab w:val="num" w:pos="720"/>
        </w:tabs>
        <w:ind w:left="720" w:hanging="360"/>
      </w:pPr>
    </w:lvl>
  </w:abstractNum>
  <w:abstractNum w:abstractNumId="9" w15:restartNumberingAfterBreak="0">
    <w:nsid w:val="0000000B"/>
    <w:multiLevelType w:val="singleLevel"/>
    <w:tmpl w:val="57B63BE6"/>
    <w:lvl w:ilvl="0">
      <w:start w:val="1"/>
      <w:numFmt w:val="decimal"/>
      <w:pStyle w:val="ListNumber3"/>
      <w:lvlText w:val="%1."/>
      <w:lvlJc w:val="left"/>
      <w:pPr>
        <w:tabs>
          <w:tab w:val="num" w:pos="1080"/>
        </w:tabs>
        <w:ind w:left="1080" w:hanging="360"/>
      </w:pPr>
    </w:lvl>
  </w:abstractNum>
  <w:abstractNum w:abstractNumId="10" w15:restartNumberingAfterBreak="0">
    <w:nsid w:val="0000000C"/>
    <w:multiLevelType w:val="multilevel"/>
    <w:tmpl w:val="7C74D798"/>
    <w:lvl w:ilvl="0">
      <w:start w:val="1"/>
      <w:numFmt w:val="decimal"/>
      <w:pStyle w:val="NoList1"/>
      <w:lvlText w:val="%1."/>
      <w:lvlJc w:val="left"/>
      <w:pPr>
        <w:ind w:left="360" w:hanging="360"/>
      </w:pPr>
    </w:lvl>
    <w:lvl w:ilvl="1">
      <w:start w:val="1"/>
      <w:numFmt w:val="lowerLetter"/>
      <w:lvlText w:val="%2."/>
      <w:lvlJc w:val="left"/>
      <w:pPr>
        <w:ind w:left="720" w:hanging="360"/>
      </w:pPr>
      <w:rPr>
        <w:rFonts w:hint="default"/>
        <w:color w:val="auto"/>
      </w:rPr>
    </w:lvl>
    <w:lvl w:ilvl="2">
      <w:start w:val="1"/>
      <w:numFmt w:val="lowerRoman"/>
      <w:lvlText w:val="%3."/>
      <w:lvlJc w:val="left"/>
      <w:pPr>
        <w:ind w:left="1080" w:hanging="360"/>
      </w:pPr>
      <w:rPr>
        <w:rFonts w:hint="default"/>
        <w:color w:val="auto"/>
      </w:rPr>
    </w:lvl>
    <w:lvl w:ilvl="3">
      <w:start w:val="1"/>
      <w:numFmt w:val="decimal"/>
      <w:lvlText w:val="%4."/>
      <w:lvlJc w:val="left"/>
      <w:pPr>
        <w:ind w:left="1440" w:hanging="360"/>
      </w:pPr>
      <w:rPr>
        <w:rFonts w:hint="default"/>
        <w:color w:val="auto"/>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000000D"/>
    <w:multiLevelType w:val="multilevel"/>
    <w:tmpl w:val="CA48C9AC"/>
    <w:lvl w:ilvl="0">
      <w:start w:val="1"/>
      <w:numFmt w:val="decimal"/>
      <w:lvlText w:val="%1."/>
      <w:lvlJc w:val="left"/>
      <w:pPr>
        <w:ind w:left="360" w:hanging="360"/>
      </w:pPr>
      <w:rPr>
        <w:rFonts w:hint="default"/>
        <w:b w:val="0"/>
        <w:i w:val="0"/>
        <w:color w:val="auto"/>
        <w:sz w:val="22"/>
      </w:rPr>
    </w:lvl>
    <w:lvl w:ilvl="1">
      <w:start w:val="1"/>
      <w:numFmt w:val="lowerLetter"/>
      <w:pStyle w:val="NoList2"/>
      <w:lvlText w:val="%2."/>
      <w:lvlJc w:val="left"/>
      <w:pPr>
        <w:ind w:left="720" w:hanging="360"/>
      </w:pPr>
    </w:lvl>
    <w:lvl w:ilvl="2">
      <w:start w:val="1"/>
      <w:numFmt w:val="lowerRoman"/>
      <w:lvlText w:val="%3."/>
      <w:lvlJc w:val="left"/>
      <w:pPr>
        <w:ind w:left="1080" w:hanging="360"/>
      </w:pPr>
      <w:rPr>
        <w:rFonts w:hint="default"/>
        <w:color w:val="auto"/>
      </w:rPr>
    </w:lvl>
    <w:lvl w:ilvl="3">
      <w:start w:val="1"/>
      <w:numFmt w:val="decimal"/>
      <w:lvlText w:val="%4."/>
      <w:lvlJc w:val="left"/>
      <w:pPr>
        <w:ind w:left="1440" w:hanging="360"/>
      </w:pPr>
      <w:rPr>
        <w:rFonts w:hint="default"/>
        <w:color w:val="auto"/>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000000E"/>
    <w:multiLevelType w:val="multilevel"/>
    <w:tmpl w:val="73526CFC"/>
    <w:lvl w:ilvl="0">
      <w:start w:val="1"/>
      <w:numFmt w:val="decimal"/>
      <w:lvlText w:val="%1."/>
      <w:lvlJc w:val="left"/>
      <w:pPr>
        <w:ind w:left="360" w:hanging="360"/>
      </w:pPr>
      <w:rPr>
        <w:rFonts w:hint="default"/>
        <w:b w:val="0"/>
        <w:i w:val="0"/>
        <w:color w:val="auto"/>
        <w:sz w:val="22"/>
      </w:rPr>
    </w:lvl>
    <w:lvl w:ilvl="1">
      <w:start w:val="1"/>
      <w:numFmt w:val="lowerLetter"/>
      <w:lvlText w:val="%2."/>
      <w:lvlJc w:val="left"/>
      <w:pPr>
        <w:ind w:left="720" w:hanging="360"/>
      </w:pPr>
      <w:rPr>
        <w:rFonts w:hint="default"/>
        <w:color w:val="auto"/>
      </w:rPr>
    </w:lvl>
    <w:lvl w:ilvl="2">
      <w:start w:val="1"/>
      <w:numFmt w:val="lowerRoman"/>
      <w:pStyle w:val="NoList3"/>
      <w:lvlText w:val="%3."/>
      <w:lvlJc w:val="left"/>
      <w:pPr>
        <w:ind w:left="1080" w:hanging="360"/>
      </w:pPr>
      <w:rPr>
        <w:rFonts w:hint="default"/>
        <w:color w:val="4A4D56" w:themeColor="text1"/>
      </w:rPr>
    </w:lvl>
    <w:lvl w:ilvl="3">
      <w:start w:val="1"/>
      <w:numFmt w:val="decimal"/>
      <w:lvlText w:val="%4."/>
      <w:lvlJc w:val="left"/>
      <w:pPr>
        <w:ind w:left="1440" w:hanging="360"/>
      </w:pPr>
      <w:rPr>
        <w:rFonts w:hint="default"/>
        <w:color w:val="auto"/>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0000012"/>
    <w:multiLevelType w:val="multilevel"/>
    <w:tmpl w:val="62AA902E"/>
    <w:lvl w:ilvl="0">
      <w:start w:val="1"/>
      <w:numFmt w:val="bullet"/>
      <w:pStyle w:val="TableBullet"/>
      <w:lvlText w:val=""/>
      <w:lvlJc w:val="left"/>
      <w:pPr>
        <w:ind w:left="720" w:hanging="360"/>
      </w:pPr>
      <w:rPr>
        <w:rFonts w:ascii="Wingdings" w:hAnsi="Wingdings" w:hint="default"/>
        <w:color w:val="053572" w:themeColor="text2"/>
        <w:sz w:val="20"/>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172B54" w:themeColor="accent1"/>
      </w:rPr>
    </w:lvl>
    <w:lvl w:ilvl="7">
      <w:start w:val="1"/>
      <w:numFmt w:val="bullet"/>
      <w:lvlText w:val=""/>
      <w:lvlJc w:val="left"/>
      <w:pPr>
        <w:ind w:left="5760" w:hanging="360"/>
      </w:pPr>
      <w:rPr>
        <w:rFonts w:ascii="Wingdings" w:hAnsi="Wingdings" w:hint="default"/>
        <w:color w:val="265EAC" w:themeColor="accent2"/>
      </w:rPr>
    </w:lvl>
    <w:lvl w:ilvl="8">
      <w:start w:val="1"/>
      <w:numFmt w:val="bullet"/>
      <w:lvlText w:val=""/>
      <w:lvlJc w:val="left"/>
      <w:pPr>
        <w:ind w:left="6480" w:hanging="360"/>
      </w:pPr>
      <w:rPr>
        <w:rFonts w:ascii="Wingdings" w:hAnsi="Wingdings" w:hint="default"/>
        <w:color w:val="1FA9E1" w:themeColor="accent3"/>
      </w:rPr>
    </w:lvl>
  </w:abstractNum>
  <w:abstractNum w:abstractNumId="14" w15:restartNumberingAfterBreak="0">
    <w:nsid w:val="22166E9B"/>
    <w:multiLevelType w:val="hybridMultilevel"/>
    <w:tmpl w:val="0D84EB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AB52461"/>
    <w:multiLevelType w:val="hybridMultilevel"/>
    <w:tmpl w:val="BBFE8A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583A95"/>
    <w:multiLevelType w:val="hybridMultilevel"/>
    <w:tmpl w:val="6C927690"/>
    <w:lvl w:ilvl="0" w:tplc="CEBCC1E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FAE3977"/>
    <w:multiLevelType w:val="hybridMultilevel"/>
    <w:tmpl w:val="7704643C"/>
    <w:lvl w:ilvl="0" w:tplc="C5CE2DB8">
      <w:start w:val="1"/>
      <w:numFmt w:val="bullet"/>
      <w:lvlText w:val=""/>
      <w:lvlJc w:val="left"/>
      <w:pPr>
        <w:ind w:left="1020" w:hanging="360"/>
      </w:pPr>
      <w:rPr>
        <w:rFonts w:ascii="Symbol" w:hAnsi="Symbol"/>
      </w:rPr>
    </w:lvl>
    <w:lvl w:ilvl="1" w:tplc="538A40D4">
      <w:start w:val="1"/>
      <w:numFmt w:val="bullet"/>
      <w:lvlText w:val=""/>
      <w:lvlJc w:val="left"/>
      <w:pPr>
        <w:ind w:left="1020" w:hanging="360"/>
      </w:pPr>
      <w:rPr>
        <w:rFonts w:ascii="Symbol" w:hAnsi="Symbol"/>
      </w:rPr>
    </w:lvl>
    <w:lvl w:ilvl="2" w:tplc="5ADE9210">
      <w:start w:val="1"/>
      <w:numFmt w:val="bullet"/>
      <w:lvlText w:val=""/>
      <w:lvlJc w:val="left"/>
      <w:pPr>
        <w:ind w:left="1020" w:hanging="360"/>
      </w:pPr>
      <w:rPr>
        <w:rFonts w:ascii="Symbol" w:hAnsi="Symbol"/>
      </w:rPr>
    </w:lvl>
    <w:lvl w:ilvl="3" w:tplc="06DEB9FA">
      <w:start w:val="1"/>
      <w:numFmt w:val="bullet"/>
      <w:lvlText w:val=""/>
      <w:lvlJc w:val="left"/>
      <w:pPr>
        <w:ind w:left="1020" w:hanging="360"/>
      </w:pPr>
      <w:rPr>
        <w:rFonts w:ascii="Symbol" w:hAnsi="Symbol"/>
      </w:rPr>
    </w:lvl>
    <w:lvl w:ilvl="4" w:tplc="1B562200">
      <w:start w:val="1"/>
      <w:numFmt w:val="bullet"/>
      <w:lvlText w:val=""/>
      <w:lvlJc w:val="left"/>
      <w:pPr>
        <w:ind w:left="1020" w:hanging="360"/>
      </w:pPr>
      <w:rPr>
        <w:rFonts w:ascii="Symbol" w:hAnsi="Symbol"/>
      </w:rPr>
    </w:lvl>
    <w:lvl w:ilvl="5" w:tplc="D166CFC4">
      <w:start w:val="1"/>
      <w:numFmt w:val="bullet"/>
      <w:lvlText w:val=""/>
      <w:lvlJc w:val="left"/>
      <w:pPr>
        <w:ind w:left="1020" w:hanging="360"/>
      </w:pPr>
      <w:rPr>
        <w:rFonts w:ascii="Symbol" w:hAnsi="Symbol"/>
      </w:rPr>
    </w:lvl>
    <w:lvl w:ilvl="6" w:tplc="1EDA1224">
      <w:start w:val="1"/>
      <w:numFmt w:val="bullet"/>
      <w:lvlText w:val=""/>
      <w:lvlJc w:val="left"/>
      <w:pPr>
        <w:ind w:left="1020" w:hanging="360"/>
      </w:pPr>
      <w:rPr>
        <w:rFonts w:ascii="Symbol" w:hAnsi="Symbol"/>
      </w:rPr>
    </w:lvl>
    <w:lvl w:ilvl="7" w:tplc="5D087102">
      <w:start w:val="1"/>
      <w:numFmt w:val="bullet"/>
      <w:lvlText w:val=""/>
      <w:lvlJc w:val="left"/>
      <w:pPr>
        <w:ind w:left="1020" w:hanging="360"/>
      </w:pPr>
      <w:rPr>
        <w:rFonts w:ascii="Symbol" w:hAnsi="Symbol"/>
      </w:rPr>
    </w:lvl>
    <w:lvl w:ilvl="8" w:tplc="EA5A2036">
      <w:start w:val="1"/>
      <w:numFmt w:val="bullet"/>
      <w:lvlText w:val=""/>
      <w:lvlJc w:val="left"/>
      <w:pPr>
        <w:ind w:left="1020" w:hanging="360"/>
      </w:pPr>
      <w:rPr>
        <w:rFonts w:ascii="Symbol" w:hAnsi="Symbol"/>
      </w:rPr>
    </w:lvl>
  </w:abstractNum>
  <w:abstractNum w:abstractNumId="18" w15:restartNumberingAfterBreak="0">
    <w:nsid w:val="503D6C61"/>
    <w:multiLevelType w:val="hybridMultilevel"/>
    <w:tmpl w:val="57AA98B0"/>
    <w:lvl w:ilvl="0" w:tplc="303A6FAC">
      <w:start w:val="1"/>
      <w:numFmt w:val="bullet"/>
      <w:pStyle w:val="ListBullet"/>
      <w:lvlText w:val=""/>
      <w:lvlJc w:val="left"/>
      <w:pPr>
        <w:ind w:left="540" w:hanging="360"/>
      </w:pPr>
      <w:rPr>
        <w:rFonts w:ascii="Wingdings" w:hAnsi="Wingdings" w:hint="default"/>
        <w:color w:val="053572" w:themeColor="text2"/>
      </w:rPr>
    </w:lvl>
    <w:lvl w:ilvl="1" w:tplc="9138973A">
      <w:start w:val="1"/>
      <w:numFmt w:val="bullet"/>
      <w:pStyle w:val="ListBullet2"/>
      <w:lvlText w:val=""/>
      <w:lvlJc w:val="left"/>
      <w:pPr>
        <w:ind w:left="2670" w:hanging="360"/>
      </w:pPr>
      <w:rPr>
        <w:rFonts w:ascii="Wingdings" w:hAnsi="Wingdings" w:hint="default"/>
        <w:color w:val="1FA9E1" w:themeColor="accent3"/>
      </w:rPr>
    </w:lvl>
    <w:lvl w:ilvl="2" w:tplc="33D260E4">
      <w:start w:val="1"/>
      <w:numFmt w:val="bullet"/>
      <w:pStyle w:val="ListBullet3"/>
      <w:lvlText w:val=""/>
      <w:lvlJc w:val="left"/>
      <w:pPr>
        <w:ind w:left="3390" w:hanging="360"/>
      </w:pPr>
      <w:rPr>
        <w:rFonts w:ascii="Wingdings" w:hAnsi="Wingdings" w:hint="default"/>
        <w:color w:val="7E83C0" w:themeColor="accent4"/>
      </w:rPr>
    </w:lvl>
    <w:lvl w:ilvl="3" w:tplc="93CEF16C" w:tentative="1">
      <w:start w:val="1"/>
      <w:numFmt w:val="bullet"/>
      <w:lvlText w:val=""/>
      <w:lvlJc w:val="left"/>
      <w:pPr>
        <w:ind w:left="4110" w:hanging="360"/>
      </w:pPr>
      <w:rPr>
        <w:rFonts w:ascii="Symbol" w:hAnsi="Symbol" w:hint="default"/>
      </w:rPr>
    </w:lvl>
    <w:lvl w:ilvl="4" w:tplc="8126FF06" w:tentative="1">
      <w:start w:val="1"/>
      <w:numFmt w:val="bullet"/>
      <w:lvlText w:val="o"/>
      <w:lvlJc w:val="left"/>
      <w:pPr>
        <w:ind w:left="4830" w:hanging="360"/>
      </w:pPr>
      <w:rPr>
        <w:rFonts w:ascii="Courier New" w:hAnsi="Courier New" w:cs="Courier New" w:hint="default"/>
      </w:rPr>
    </w:lvl>
    <w:lvl w:ilvl="5" w:tplc="148A4FCC" w:tentative="1">
      <w:start w:val="1"/>
      <w:numFmt w:val="bullet"/>
      <w:lvlText w:val=""/>
      <w:lvlJc w:val="left"/>
      <w:pPr>
        <w:ind w:left="5550" w:hanging="360"/>
      </w:pPr>
      <w:rPr>
        <w:rFonts w:ascii="Wingdings" w:hAnsi="Wingdings" w:hint="default"/>
      </w:rPr>
    </w:lvl>
    <w:lvl w:ilvl="6" w:tplc="CCA44C88" w:tentative="1">
      <w:start w:val="1"/>
      <w:numFmt w:val="bullet"/>
      <w:lvlText w:val=""/>
      <w:lvlJc w:val="left"/>
      <w:pPr>
        <w:ind w:left="6270" w:hanging="360"/>
      </w:pPr>
      <w:rPr>
        <w:rFonts w:ascii="Symbol" w:hAnsi="Symbol" w:hint="default"/>
      </w:rPr>
    </w:lvl>
    <w:lvl w:ilvl="7" w:tplc="76A06480" w:tentative="1">
      <w:start w:val="1"/>
      <w:numFmt w:val="bullet"/>
      <w:lvlText w:val="o"/>
      <w:lvlJc w:val="left"/>
      <w:pPr>
        <w:ind w:left="6990" w:hanging="360"/>
      </w:pPr>
      <w:rPr>
        <w:rFonts w:ascii="Courier New" w:hAnsi="Courier New" w:cs="Courier New" w:hint="default"/>
      </w:rPr>
    </w:lvl>
    <w:lvl w:ilvl="8" w:tplc="06F402DC" w:tentative="1">
      <w:start w:val="1"/>
      <w:numFmt w:val="bullet"/>
      <w:lvlText w:val=""/>
      <w:lvlJc w:val="left"/>
      <w:pPr>
        <w:ind w:left="7710" w:hanging="360"/>
      </w:pPr>
      <w:rPr>
        <w:rFonts w:ascii="Wingdings" w:hAnsi="Wingdings" w:hint="default"/>
      </w:rPr>
    </w:lvl>
  </w:abstractNum>
  <w:abstractNum w:abstractNumId="19" w15:restartNumberingAfterBreak="0">
    <w:nsid w:val="575D65CB"/>
    <w:multiLevelType w:val="multilevel"/>
    <w:tmpl w:val="359AAF8C"/>
    <w:styleLink w:val="ODXAPPENDIX"/>
    <w:lvl w:ilvl="0">
      <w:start w:val="1"/>
      <w:numFmt w:val="upperLetter"/>
      <w:lvlText w:val="APPENDIX %1 "/>
      <w:lvlJc w:val="left"/>
      <w:pPr>
        <w:ind w:left="360" w:hanging="360"/>
      </w:pPr>
      <w:rPr>
        <w:rFonts w:ascii="Rift Soft" w:hAnsi="Rift Soft" w:hint="default"/>
        <w:color w:val="053572" w:themeColor="text2"/>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BAA4A6B"/>
    <w:multiLevelType w:val="hybridMultilevel"/>
    <w:tmpl w:val="403495D4"/>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BD0409"/>
    <w:multiLevelType w:val="hybridMultilevel"/>
    <w:tmpl w:val="16B437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4161D6"/>
    <w:multiLevelType w:val="hybridMultilevel"/>
    <w:tmpl w:val="2FA66734"/>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203ED7"/>
    <w:multiLevelType w:val="multilevel"/>
    <w:tmpl w:val="0256F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4E5C8B"/>
    <w:multiLevelType w:val="multilevel"/>
    <w:tmpl w:val="E6E2F988"/>
    <w:name w:val="Appendix Headings"/>
    <w:lvl w:ilvl="0">
      <w:start w:val="1"/>
      <w:numFmt w:val="upperLetter"/>
      <w:lvlText w:val="APPENDIX %1. "/>
      <w:lvlJc w:val="left"/>
      <w:pPr>
        <w:ind w:left="2268" w:hanging="2268"/>
      </w:pPr>
      <w:rPr>
        <w:rFonts w:ascii="Rift Soft" w:hAnsi="Rift Soft" w:hint="default"/>
        <w:color w:val="053572" w:themeColor="text2"/>
        <w:sz w:val="36"/>
      </w:rPr>
    </w:lvl>
    <w:lvl w:ilvl="1">
      <w:start w:val="1"/>
      <w:numFmt w:val="upperRoman"/>
      <w:lvlText w:val="APPENDIX %1-%2."/>
      <w:lvlJc w:val="left"/>
      <w:pPr>
        <w:ind w:left="2268" w:hanging="2268"/>
      </w:pPr>
      <w:rPr>
        <w:rFonts w:ascii="Rift Soft" w:hAnsi="Rift Soft" w:hint="default"/>
        <w:color w:val="1FA9E1" w:themeColor="accent3"/>
        <w:sz w:val="36"/>
      </w:rPr>
    </w:lvl>
    <w:lvl w:ilvl="2">
      <w:start w:val="1"/>
      <w:numFmt w:val="upperRoman"/>
      <w:lvlText w:val="APPENDIX %1-%2.%3."/>
      <w:lvlJc w:val="left"/>
      <w:pPr>
        <w:ind w:left="2268" w:hanging="2268"/>
      </w:pPr>
      <w:rPr>
        <w:rFonts w:ascii="Rift Soft" w:hAnsi="Rift Soft" w:hint="default"/>
        <w:color w:val="4A4D56" w:themeColor="text1"/>
        <w:sz w:val="32"/>
      </w:rPr>
    </w:lvl>
    <w:lvl w:ilvl="3">
      <w:start w:val="1"/>
      <w:numFmt w:val="decimal"/>
      <w:lvlText w:val="%4."/>
      <w:lvlJc w:val="left"/>
      <w:pPr>
        <w:ind w:left="2268" w:hanging="2268"/>
      </w:pPr>
      <w:rPr>
        <w:rFonts w:hint="default"/>
      </w:rPr>
    </w:lvl>
    <w:lvl w:ilvl="4">
      <w:start w:val="1"/>
      <w:numFmt w:val="lowerLetter"/>
      <w:lvlText w:val="%5."/>
      <w:lvlJc w:val="left"/>
      <w:pPr>
        <w:ind w:left="2268" w:hanging="2268"/>
      </w:pPr>
      <w:rPr>
        <w:rFonts w:hint="default"/>
      </w:rPr>
    </w:lvl>
    <w:lvl w:ilvl="5">
      <w:start w:val="1"/>
      <w:numFmt w:val="lowerRoman"/>
      <w:lvlText w:val="%6."/>
      <w:lvlJc w:val="right"/>
      <w:pPr>
        <w:ind w:left="2268" w:hanging="2268"/>
      </w:pPr>
      <w:rPr>
        <w:rFonts w:hint="default"/>
      </w:rPr>
    </w:lvl>
    <w:lvl w:ilvl="6">
      <w:start w:val="1"/>
      <w:numFmt w:val="decimal"/>
      <w:lvlText w:val="%7."/>
      <w:lvlJc w:val="left"/>
      <w:pPr>
        <w:ind w:left="2268" w:hanging="2268"/>
      </w:pPr>
      <w:rPr>
        <w:rFonts w:hint="default"/>
      </w:rPr>
    </w:lvl>
    <w:lvl w:ilvl="7">
      <w:start w:val="1"/>
      <w:numFmt w:val="lowerLetter"/>
      <w:lvlText w:val="%8."/>
      <w:lvlJc w:val="left"/>
      <w:pPr>
        <w:ind w:left="2268" w:hanging="2268"/>
      </w:pPr>
      <w:rPr>
        <w:rFonts w:hint="default"/>
      </w:rPr>
    </w:lvl>
    <w:lvl w:ilvl="8">
      <w:start w:val="1"/>
      <w:numFmt w:val="lowerRoman"/>
      <w:lvlText w:val="%9."/>
      <w:lvlJc w:val="right"/>
      <w:pPr>
        <w:ind w:left="2268" w:hanging="2268"/>
      </w:pPr>
      <w:rPr>
        <w:rFonts w:hint="default"/>
      </w:rPr>
    </w:lvl>
  </w:abstractNum>
  <w:num w:numId="1" w16cid:durableId="1361206283">
    <w:abstractNumId w:val="1"/>
  </w:num>
  <w:num w:numId="2" w16cid:durableId="545600677">
    <w:abstractNumId w:val="2"/>
  </w:num>
  <w:num w:numId="3" w16cid:durableId="1299147011">
    <w:abstractNumId w:val="3"/>
  </w:num>
  <w:num w:numId="4" w16cid:durableId="1501771948">
    <w:abstractNumId w:val="4"/>
  </w:num>
  <w:num w:numId="5" w16cid:durableId="556820789">
    <w:abstractNumId w:val="5"/>
  </w:num>
  <w:num w:numId="6" w16cid:durableId="2095126736">
    <w:abstractNumId w:val="6"/>
  </w:num>
  <w:num w:numId="7" w16cid:durableId="1435440616">
    <w:abstractNumId w:val="7"/>
  </w:num>
  <w:num w:numId="8" w16cid:durableId="1899240670">
    <w:abstractNumId w:val="8"/>
  </w:num>
  <w:num w:numId="9" w16cid:durableId="1607806446">
    <w:abstractNumId w:val="9"/>
  </w:num>
  <w:num w:numId="10" w16cid:durableId="614562843">
    <w:abstractNumId w:val="10"/>
  </w:num>
  <w:num w:numId="11" w16cid:durableId="1790003988">
    <w:abstractNumId w:val="11"/>
  </w:num>
  <w:num w:numId="12" w16cid:durableId="699361803">
    <w:abstractNumId w:val="12"/>
  </w:num>
  <w:num w:numId="13" w16cid:durableId="1925264602">
    <w:abstractNumId w:val="13"/>
  </w:num>
  <w:num w:numId="14" w16cid:durableId="1804107596">
    <w:abstractNumId w:val="18"/>
  </w:num>
  <w:num w:numId="15" w16cid:durableId="1244608247">
    <w:abstractNumId w:val="19"/>
  </w:num>
  <w:num w:numId="16" w16cid:durableId="1371999592">
    <w:abstractNumId w:val="24"/>
  </w:num>
  <w:num w:numId="17" w16cid:durableId="1020424898">
    <w:abstractNumId w:val="16"/>
  </w:num>
  <w:num w:numId="18" w16cid:durableId="172384676">
    <w:abstractNumId w:val="0"/>
  </w:num>
  <w:num w:numId="19" w16cid:durableId="1250503167">
    <w:abstractNumId w:val="21"/>
  </w:num>
  <w:num w:numId="20" w16cid:durableId="540479249">
    <w:abstractNumId w:val="15"/>
  </w:num>
  <w:num w:numId="21" w16cid:durableId="844393156">
    <w:abstractNumId w:val="14"/>
  </w:num>
  <w:num w:numId="22" w16cid:durableId="466892872">
    <w:abstractNumId w:val="17"/>
  </w:num>
  <w:num w:numId="23" w16cid:durableId="1177888765">
    <w:abstractNumId w:val="23"/>
  </w:num>
  <w:num w:numId="24" w16cid:durableId="1794052267">
    <w:abstractNumId w:val="20"/>
  </w:num>
  <w:num w:numId="25" w16cid:durableId="590162476">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Zachary Ross">
    <w15:presenceInfo w15:providerId="AD" w15:userId="S::Zross@opiniondynamics.com::5bc26c3a-381a-4f08-b1c4-5d36dd6451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Y1NDe1NDKzMDQ2MjBU0lEKTi0uzszPAykwqgUARkFZgywAAAA="/>
  </w:docVars>
  <w:rsids>
    <w:rsidRoot w:val="00ED46AA"/>
    <w:rsid w:val="00002523"/>
    <w:rsid w:val="000163F4"/>
    <w:rsid w:val="000274B9"/>
    <w:rsid w:val="000317D8"/>
    <w:rsid w:val="000413E8"/>
    <w:rsid w:val="00041AA5"/>
    <w:rsid w:val="00046703"/>
    <w:rsid w:val="00050F40"/>
    <w:rsid w:val="0006058A"/>
    <w:rsid w:val="00090DEE"/>
    <w:rsid w:val="000A0C88"/>
    <w:rsid w:val="000B33F7"/>
    <w:rsid w:val="000C2EF9"/>
    <w:rsid w:val="000D4AB9"/>
    <w:rsid w:val="000E0419"/>
    <w:rsid w:val="000E0ECE"/>
    <w:rsid w:val="000F2C3E"/>
    <w:rsid w:val="000F5311"/>
    <w:rsid w:val="00105940"/>
    <w:rsid w:val="001324CD"/>
    <w:rsid w:val="00134ABC"/>
    <w:rsid w:val="0013593F"/>
    <w:rsid w:val="00137F89"/>
    <w:rsid w:val="00144B1E"/>
    <w:rsid w:val="00153DBC"/>
    <w:rsid w:val="00155088"/>
    <w:rsid w:val="00155875"/>
    <w:rsid w:val="00157D54"/>
    <w:rsid w:val="0016138F"/>
    <w:rsid w:val="00166745"/>
    <w:rsid w:val="00171C69"/>
    <w:rsid w:val="00171C84"/>
    <w:rsid w:val="00172B87"/>
    <w:rsid w:val="00177788"/>
    <w:rsid w:val="00181175"/>
    <w:rsid w:val="00181DA9"/>
    <w:rsid w:val="00191389"/>
    <w:rsid w:val="001914EE"/>
    <w:rsid w:val="00193142"/>
    <w:rsid w:val="00196D76"/>
    <w:rsid w:val="001B180E"/>
    <w:rsid w:val="001C32D6"/>
    <w:rsid w:val="001C4ACA"/>
    <w:rsid w:val="001D2DDA"/>
    <w:rsid w:val="001D5B3C"/>
    <w:rsid w:val="001E0E4B"/>
    <w:rsid w:val="001F1009"/>
    <w:rsid w:val="001F322C"/>
    <w:rsid w:val="001F4B4F"/>
    <w:rsid w:val="001F4D82"/>
    <w:rsid w:val="002051EB"/>
    <w:rsid w:val="002114D1"/>
    <w:rsid w:val="002139E5"/>
    <w:rsid w:val="0021540D"/>
    <w:rsid w:val="002257D1"/>
    <w:rsid w:val="002258A8"/>
    <w:rsid w:val="00237647"/>
    <w:rsid w:val="00241E2C"/>
    <w:rsid w:val="0025719A"/>
    <w:rsid w:val="002646BC"/>
    <w:rsid w:val="00267358"/>
    <w:rsid w:val="00272A4F"/>
    <w:rsid w:val="002749C2"/>
    <w:rsid w:val="00285327"/>
    <w:rsid w:val="00290861"/>
    <w:rsid w:val="00294548"/>
    <w:rsid w:val="002A35C7"/>
    <w:rsid w:val="002B355A"/>
    <w:rsid w:val="002B3CAA"/>
    <w:rsid w:val="002B512D"/>
    <w:rsid w:val="002C1FF1"/>
    <w:rsid w:val="002D4832"/>
    <w:rsid w:val="002E20E6"/>
    <w:rsid w:val="002E2AB7"/>
    <w:rsid w:val="002E32CA"/>
    <w:rsid w:val="00301F8B"/>
    <w:rsid w:val="00316B19"/>
    <w:rsid w:val="00322A38"/>
    <w:rsid w:val="00325DDE"/>
    <w:rsid w:val="003308B0"/>
    <w:rsid w:val="003315C4"/>
    <w:rsid w:val="00332677"/>
    <w:rsid w:val="00336D07"/>
    <w:rsid w:val="00344C36"/>
    <w:rsid w:val="00351734"/>
    <w:rsid w:val="00363CB8"/>
    <w:rsid w:val="00364EE9"/>
    <w:rsid w:val="00365B31"/>
    <w:rsid w:val="00376D43"/>
    <w:rsid w:val="003924A0"/>
    <w:rsid w:val="003A3404"/>
    <w:rsid w:val="003A6058"/>
    <w:rsid w:val="003B42EF"/>
    <w:rsid w:val="003B615C"/>
    <w:rsid w:val="003C41D9"/>
    <w:rsid w:val="003C4811"/>
    <w:rsid w:val="003D1C9A"/>
    <w:rsid w:val="003E33D7"/>
    <w:rsid w:val="003F45B2"/>
    <w:rsid w:val="0040139D"/>
    <w:rsid w:val="00413135"/>
    <w:rsid w:val="00423A84"/>
    <w:rsid w:val="0042448A"/>
    <w:rsid w:val="00434F0D"/>
    <w:rsid w:val="00444BBD"/>
    <w:rsid w:val="0044544A"/>
    <w:rsid w:val="00455E81"/>
    <w:rsid w:val="00456518"/>
    <w:rsid w:val="004573DA"/>
    <w:rsid w:val="00464243"/>
    <w:rsid w:val="0046689E"/>
    <w:rsid w:val="00484152"/>
    <w:rsid w:val="004915EF"/>
    <w:rsid w:val="00494092"/>
    <w:rsid w:val="00494799"/>
    <w:rsid w:val="004A4F72"/>
    <w:rsid w:val="004C1522"/>
    <w:rsid w:val="004E232C"/>
    <w:rsid w:val="004E7EA5"/>
    <w:rsid w:val="004F1E7A"/>
    <w:rsid w:val="004F2B41"/>
    <w:rsid w:val="004F54DB"/>
    <w:rsid w:val="004F7FA8"/>
    <w:rsid w:val="00503497"/>
    <w:rsid w:val="00503B5A"/>
    <w:rsid w:val="00504E40"/>
    <w:rsid w:val="00513F8B"/>
    <w:rsid w:val="005210B0"/>
    <w:rsid w:val="00526CF2"/>
    <w:rsid w:val="005315C4"/>
    <w:rsid w:val="00531B1A"/>
    <w:rsid w:val="005350F7"/>
    <w:rsid w:val="00540D33"/>
    <w:rsid w:val="0054466C"/>
    <w:rsid w:val="00545EA5"/>
    <w:rsid w:val="005529E5"/>
    <w:rsid w:val="005569B5"/>
    <w:rsid w:val="00556B05"/>
    <w:rsid w:val="00556D7B"/>
    <w:rsid w:val="00562306"/>
    <w:rsid w:val="00562626"/>
    <w:rsid w:val="005676FF"/>
    <w:rsid w:val="005709EF"/>
    <w:rsid w:val="00572CBA"/>
    <w:rsid w:val="00576403"/>
    <w:rsid w:val="005776D9"/>
    <w:rsid w:val="005877F6"/>
    <w:rsid w:val="005A28F5"/>
    <w:rsid w:val="005C754B"/>
    <w:rsid w:val="005D0D34"/>
    <w:rsid w:val="005D547A"/>
    <w:rsid w:val="005D5C3E"/>
    <w:rsid w:val="005F02B5"/>
    <w:rsid w:val="005F120F"/>
    <w:rsid w:val="005F6832"/>
    <w:rsid w:val="006069C4"/>
    <w:rsid w:val="00614FF7"/>
    <w:rsid w:val="0063566D"/>
    <w:rsid w:val="0063604E"/>
    <w:rsid w:val="00641AF9"/>
    <w:rsid w:val="00645611"/>
    <w:rsid w:val="006463FA"/>
    <w:rsid w:val="00652535"/>
    <w:rsid w:val="00660CEF"/>
    <w:rsid w:val="0067044D"/>
    <w:rsid w:val="0068154D"/>
    <w:rsid w:val="00684AA9"/>
    <w:rsid w:val="00690105"/>
    <w:rsid w:val="006A2679"/>
    <w:rsid w:val="006B2076"/>
    <w:rsid w:val="006B2FA7"/>
    <w:rsid w:val="006B3567"/>
    <w:rsid w:val="006D3C26"/>
    <w:rsid w:val="006D731A"/>
    <w:rsid w:val="006E4E64"/>
    <w:rsid w:val="006E68B0"/>
    <w:rsid w:val="00725A3A"/>
    <w:rsid w:val="00745509"/>
    <w:rsid w:val="00752054"/>
    <w:rsid w:val="007535FC"/>
    <w:rsid w:val="00756426"/>
    <w:rsid w:val="00767E6C"/>
    <w:rsid w:val="00772144"/>
    <w:rsid w:val="00782094"/>
    <w:rsid w:val="00786A5A"/>
    <w:rsid w:val="00792F94"/>
    <w:rsid w:val="007948EE"/>
    <w:rsid w:val="007B6DF3"/>
    <w:rsid w:val="007C320D"/>
    <w:rsid w:val="007C5AA1"/>
    <w:rsid w:val="007E54AE"/>
    <w:rsid w:val="00800BCD"/>
    <w:rsid w:val="0080549D"/>
    <w:rsid w:val="00806037"/>
    <w:rsid w:val="00812719"/>
    <w:rsid w:val="00815F70"/>
    <w:rsid w:val="00862AE1"/>
    <w:rsid w:val="00862AF0"/>
    <w:rsid w:val="00883750"/>
    <w:rsid w:val="00884827"/>
    <w:rsid w:val="00897C51"/>
    <w:rsid w:val="008B2F0D"/>
    <w:rsid w:val="008D37DE"/>
    <w:rsid w:val="008E12F6"/>
    <w:rsid w:val="008F0909"/>
    <w:rsid w:val="00900F0B"/>
    <w:rsid w:val="00904EE9"/>
    <w:rsid w:val="00912033"/>
    <w:rsid w:val="009236A2"/>
    <w:rsid w:val="00926EB2"/>
    <w:rsid w:val="00932492"/>
    <w:rsid w:val="00954350"/>
    <w:rsid w:val="00962988"/>
    <w:rsid w:val="009803B5"/>
    <w:rsid w:val="00980F9B"/>
    <w:rsid w:val="00985305"/>
    <w:rsid w:val="00985BB4"/>
    <w:rsid w:val="00994030"/>
    <w:rsid w:val="009A23D2"/>
    <w:rsid w:val="009A24AC"/>
    <w:rsid w:val="009D7678"/>
    <w:rsid w:val="009E5482"/>
    <w:rsid w:val="009F4BC0"/>
    <w:rsid w:val="009F5AAD"/>
    <w:rsid w:val="00A02BBA"/>
    <w:rsid w:val="00A13522"/>
    <w:rsid w:val="00A1487D"/>
    <w:rsid w:val="00A14F20"/>
    <w:rsid w:val="00A15B19"/>
    <w:rsid w:val="00A2492F"/>
    <w:rsid w:val="00A33424"/>
    <w:rsid w:val="00A4257C"/>
    <w:rsid w:val="00A46573"/>
    <w:rsid w:val="00A53C8F"/>
    <w:rsid w:val="00A5705E"/>
    <w:rsid w:val="00A63589"/>
    <w:rsid w:val="00A83BC4"/>
    <w:rsid w:val="00A85B8D"/>
    <w:rsid w:val="00A95C32"/>
    <w:rsid w:val="00A96735"/>
    <w:rsid w:val="00AA0F6E"/>
    <w:rsid w:val="00AA5DA7"/>
    <w:rsid w:val="00AB5038"/>
    <w:rsid w:val="00AB6E58"/>
    <w:rsid w:val="00AB79BD"/>
    <w:rsid w:val="00AB7C6D"/>
    <w:rsid w:val="00AC21E5"/>
    <w:rsid w:val="00AC29AB"/>
    <w:rsid w:val="00AC2CC4"/>
    <w:rsid w:val="00AC3AD1"/>
    <w:rsid w:val="00AC4369"/>
    <w:rsid w:val="00AC5A96"/>
    <w:rsid w:val="00AE2204"/>
    <w:rsid w:val="00AF76DA"/>
    <w:rsid w:val="00B010C4"/>
    <w:rsid w:val="00B02B47"/>
    <w:rsid w:val="00B058AB"/>
    <w:rsid w:val="00B22E9B"/>
    <w:rsid w:val="00B3791D"/>
    <w:rsid w:val="00B42FC3"/>
    <w:rsid w:val="00B51AF9"/>
    <w:rsid w:val="00B53ABC"/>
    <w:rsid w:val="00B6566F"/>
    <w:rsid w:val="00B731F2"/>
    <w:rsid w:val="00B803B6"/>
    <w:rsid w:val="00B85543"/>
    <w:rsid w:val="00B87A6C"/>
    <w:rsid w:val="00B90C45"/>
    <w:rsid w:val="00BA2415"/>
    <w:rsid w:val="00BA3F6A"/>
    <w:rsid w:val="00BA6418"/>
    <w:rsid w:val="00BC1802"/>
    <w:rsid w:val="00BC6E39"/>
    <w:rsid w:val="00BD573A"/>
    <w:rsid w:val="00BE0286"/>
    <w:rsid w:val="00BE0CCC"/>
    <w:rsid w:val="00BE5299"/>
    <w:rsid w:val="00BF11F3"/>
    <w:rsid w:val="00BF2103"/>
    <w:rsid w:val="00BF335D"/>
    <w:rsid w:val="00BF4B9E"/>
    <w:rsid w:val="00C04969"/>
    <w:rsid w:val="00C07C0D"/>
    <w:rsid w:val="00C169B5"/>
    <w:rsid w:val="00C2344D"/>
    <w:rsid w:val="00C2664B"/>
    <w:rsid w:val="00C2694D"/>
    <w:rsid w:val="00C27B1A"/>
    <w:rsid w:val="00C46EE4"/>
    <w:rsid w:val="00C5313F"/>
    <w:rsid w:val="00C54B21"/>
    <w:rsid w:val="00C60549"/>
    <w:rsid w:val="00C6101B"/>
    <w:rsid w:val="00C8284A"/>
    <w:rsid w:val="00C84A2D"/>
    <w:rsid w:val="00CA386B"/>
    <w:rsid w:val="00CB54CF"/>
    <w:rsid w:val="00CB7BD7"/>
    <w:rsid w:val="00CC265E"/>
    <w:rsid w:val="00CD243B"/>
    <w:rsid w:val="00CD2EF7"/>
    <w:rsid w:val="00CD79DD"/>
    <w:rsid w:val="00CD7FE7"/>
    <w:rsid w:val="00CE72CF"/>
    <w:rsid w:val="00CF586F"/>
    <w:rsid w:val="00D0063A"/>
    <w:rsid w:val="00D075CA"/>
    <w:rsid w:val="00D101AA"/>
    <w:rsid w:val="00D23D91"/>
    <w:rsid w:val="00D26DF1"/>
    <w:rsid w:val="00D27354"/>
    <w:rsid w:val="00D30AE8"/>
    <w:rsid w:val="00D366FC"/>
    <w:rsid w:val="00D4188F"/>
    <w:rsid w:val="00D441D6"/>
    <w:rsid w:val="00D456E9"/>
    <w:rsid w:val="00D4579E"/>
    <w:rsid w:val="00D46027"/>
    <w:rsid w:val="00D46533"/>
    <w:rsid w:val="00D510A9"/>
    <w:rsid w:val="00D51456"/>
    <w:rsid w:val="00D54F6F"/>
    <w:rsid w:val="00D63984"/>
    <w:rsid w:val="00D77437"/>
    <w:rsid w:val="00D85F48"/>
    <w:rsid w:val="00DB3F21"/>
    <w:rsid w:val="00DB79E2"/>
    <w:rsid w:val="00DC0F99"/>
    <w:rsid w:val="00DD2F88"/>
    <w:rsid w:val="00DF40C9"/>
    <w:rsid w:val="00E02F5E"/>
    <w:rsid w:val="00E04BF6"/>
    <w:rsid w:val="00E21C1F"/>
    <w:rsid w:val="00E358B7"/>
    <w:rsid w:val="00E51FB2"/>
    <w:rsid w:val="00E53385"/>
    <w:rsid w:val="00E5571C"/>
    <w:rsid w:val="00E601DE"/>
    <w:rsid w:val="00E6039A"/>
    <w:rsid w:val="00E65671"/>
    <w:rsid w:val="00E706F6"/>
    <w:rsid w:val="00E774E7"/>
    <w:rsid w:val="00E842FE"/>
    <w:rsid w:val="00E86632"/>
    <w:rsid w:val="00E9259E"/>
    <w:rsid w:val="00E96C20"/>
    <w:rsid w:val="00EA21DB"/>
    <w:rsid w:val="00EB4CF4"/>
    <w:rsid w:val="00EC0C80"/>
    <w:rsid w:val="00EC482B"/>
    <w:rsid w:val="00EC60EA"/>
    <w:rsid w:val="00ED2B49"/>
    <w:rsid w:val="00ED46AA"/>
    <w:rsid w:val="00ED6384"/>
    <w:rsid w:val="00EF048B"/>
    <w:rsid w:val="00EF60AC"/>
    <w:rsid w:val="00F12E47"/>
    <w:rsid w:val="00F23723"/>
    <w:rsid w:val="00F41B77"/>
    <w:rsid w:val="00F51639"/>
    <w:rsid w:val="00F57E07"/>
    <w:rsid w:val="00F622D7"/>
    <w:rsid w:val="00F663ED"/>
    <w:rsid w:val="00F724A9"/>
    <w:rsid w:val="00F7299B"/>
    <w:rsid w:val="00FA39DF"/>
    <w:rsid w:val="00FD4291"/>
    <w:rsid w:val="00FD42FA"/>
    <w:rsid w:val="00FE27DD"/>
    <w:rsid w:val="00FE28CD"/>
    <w:rsid w:val="00FE3463"/>
    <w:rsid w:val="00FE3500"/>
    <w:rsid w:val="00FF346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6A1DA2"/>
  <w15:chartTrackingRefBased/>
  <w15:docId w15:val="{2E494992-24C1-4C9E-888C-336E6A4C1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1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6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2B5"/>
    <w:rPr>
      <w:rFonts w:ascii="Franklin Gothic Book" w:eastAsia="Times New Roman" w:hAnsi="Franklin Gothic Book" w:cs="Times New Roman"/>
      <w:color w:val="4A4D56" w:themeColor="text1"/>
      <w:lang w:val="en-US"/>
    </w:rPr>
  </w:style>
  <w:style w:type="paragraph" w:styleId="Heading1">
    <w:name w:val="heading 1"/>
    <w:next w:val="Normal"/>
    <w:uiPriority w:val="9"/>
    <w:qFormat/>
    <w:rsid w:val="00690105"/>
    <w:pPr>
      <w:keepNext/>
      <w:keepLines/>
      <w:suppressAutoHyphens/>
      <w:spacing w:before="300" w:after="240" w:line="240" w:lineRule="auto"/>
      <w:outlineLvl w:val="0"/>
    </w:pPr>
    <w:rPr>
      <w:rFonts w:ascii="Rift Soft Medium" w:eastAsia="Times New Roman" w:hAnsi="Rift Soft Medium" w:cs="Times New Roman"/>
      <w:color w:val="053572"/>
      <w:sz w:val="44"/>
      <w:szCs w:val="24"/>
      <w:lang w:val="en-US"/>
    </w:rPr>
  </w:style>
  <w:style w:type="paragraph" w:styleId="Heading2">
    <w:name w:val="heading 2"/>
    <w:basedOn w:val="Heading1"/>
    <w:next w:val="Normal"/>
    <w:uiPriority w:val="9"/>
    <w:qFormat/>
    <w:rsid w:val="00BA2415"/>
    <w:pPr>
      <w:numPr>
        <w:ilvl w:val="1"/>
      </w:numPr>
      <w:outlineLvl w:val="1"/>
    </w:pPr>
    <w:rPr>
      <w:color w:val="416DCB" w:themeColor="accent1" w:themeTint="99"/>
      <w:sz w:val="40"/>
    </w:rPr>
  </w:style>
  <w:style w:type="paragraph" w:styleId="Heading3">
    <w:name w:val="heading 3"/>
    <w:basedOn w:val="Heading1"/>
    <w:next w:val="Normal"/>
    <w:uiPriority w:val="9"/>
    <w:qFormat/>
    <w:rsid w:val="006463FA"/>
    <w:pPr>
      <w:numPr>
        <w:ilvl w:val="2"/>
      </w:numPr>
      <w:outlineLvl w:val="2"/>
    </w:pPr>
    <w:rPr>
      <w:color w:val="1FA9E1" w:themeColor="accent3"/>
      <w:sz w:val="36"/>
    </w:rPr>
  </w:style>
  <w:style w:type="paragraph" w:styleId="Heading4">
    <w:name w:val="heading 4"/>
    <w:basedOn w:val="Normal"/>
    <w:uiPriority w:val="9"/>
    <w:qFormat/>
    <w:rsid w:val="006463FA"/>
    <w:pPr>
      <w:spacing w:before="240" w:after="180"/>
      <w:outlineLvl w:val="3"/>
    </w:pPr>
    <w:rPr>
      <w:rFonts w:ascii="Rift Soft Medium" w:hAnsi="Rift Soft Medium" w:cs="Arial"/>
      <w:bCs/>
      <w:color w:val="053572" w:themeColor="text2"/>
      <w:sz w:val="32"/>
      <w:szCs w:val="24"/>
    </w:rPr>
  </w:style>
  <w:style w:type="paragraph" w:styleId="Heading5">
    <w:name w:val="heading 5"/>
    <w:basedOn w:val="Heading4"/>
    <w:uiPriority w:val="9"/>
    <w:rsid w:val="005F02B5"/>
    <w:pPr>
      <w:spacing w:after="160"/>
      <w:outlineLvl w:val="4"/>
    </w:pPr>
    <w:rPr>
      <w:rFonts w:ascii="Franklin Gothic Medium" w:hAnsi="Franklin Gothic Medium"/>
      <w:iCs/>
      <w:color w:val="416DCB" w:themeColor="accent1" w:themeTint="99"/>
      <w:sz w:val="26"/>
      <w:szCs w:val="22"/>
    </w:rPr>
  </w:style>
  <w:style w:type="paragraph" w:styleId="Heading6">
    <w:name w:val="heading 6"/>
    <w:uiPriority w:val="9"/>
    <w:rsid w:val="005F02B5"/>
    <w:pPr>
      <w:spacing w:after="120"/>
      <w:outlineLvl w:val="5"/>
    </w:pPr>
    <w:rPr>
      <w:rFonts w:ascii="Franklin Gothic Medium" w:eastAsia="Times New Roman" w:hAnsi="Franklin Gothic Medium" w:cs="Arial"/>
      <w:bCs/>
      <w:iCs/>
      <w:color w:val="1FA9E1" w:themeColor="accent3"/>
      <w:szCs w:val="21"/>
      <w:lang w:val="en-US"/>
    </w:rPr>
  </w:style>
  <w:style w:type="paragraph" w:styleId="Heading7">
    <w:name w:val="heading 7"/>
    <w:basedOn w:val="Heading6"/>
    <w:next w:val="Normal"/>
    <w:uiPriority w:val="2"/>
    <w:semiHidden/>
    <w:rsid w:val="006463FA"/>
    <w:pPr>
      <w:outlineLvl w:val="6"/>
    </w:pPr>
    <w:rPr>
      <w:rFonts w:asciiTheme="majorHAnsi" w:hAnsiTheme="majorHAnsi"/>
      <w:bCs w:val="0"/>
      <w:color w:val="053572" w:themeColor="text2"/>
      <w:sz w:val="28"/>
      <w:szCs w:val="28"/>
    </w:rPr>
  </w:style>
  <w:style w:type="paragraph" w:styleId="Heading8">
    <w:name w:val="heading 8"/>
    <w:basedOn w:val="Normal"/>
    <w:next w:val="Normal"/>
    <w:uiPriority w:val="2"/>
    <w:semiHidden/>
    <w:rsid w:val="00BA2415"/>
    <w:pPr>
      <w:outlineLvl w:val="7"/>
    </w:pPr>
    <w:rPr>
      <w:rFonts w:asciiTheme="majorHAnsi" w:hAnsiTheme="majorHAnsi"/>
      <w:color w:val="416DCB" w:themeColor="accent1" w:themeTint="99"/>
      <w:sz w:val="24"/>
      <w:szCs w:val="24"/>
    </w:rPr>
  </w:style>
  <w:style w:type="paragraph" w:styleId="Heading9">
    <w:name w:val="heading 9"/>
    <w:basedOn w:val="Heading8"/>
    <w:next w:val="Normal"/>
    <w:uiPriority w:val="2"/>
    <w:semiHidden/>
    <w:rsid w:val="00454842"/>
    <w:pPr>
      <w:outlineLvl w:val="8"/>
    </w:pPr>
    <w:rPr>
      <w:color w:val="6B9BDE" w:themeColor="accent2" w:themeTint="99"/>
      <w:sz w:val="22"/>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next w:val="Normal"/>
    <w:uiPriority w:val="99"/>
    <w:semiHidden/>
    <w:rsid w:val="003C4811"/>
    <w:pPr>
      <w:tabs>
        <w:tab w:val="right" w:leader="dot" w:pos="10070"/>
      </w:tabs>
      <w:spacing w:before="120" w:after="120"/>
      <w:ind w:right="-4"/>
    </w:pPr>
    <w:rPr>
      <w:rFonts w:ascii="Rift Soft" w:eastAsia="Times New Roman" w:hAnsi="Rift Soft" w:cs="Times New Roman"/>
      <w:color w:val="053572"/>
      <w:sz w:val="48"/>
      <w:szCs w:val="48"/>
      <w:lang w:val="en-US"/>
    </w:rPr>
  </w:style>
  <w:style w:type="character" w:styleId="Strong">
    <w:name w:val="Strong"/>
    <w:aliases w:val="Resume Style 1"/>
    <w:uiPriority w:val="22"/>
    <w:semiHidden/>
    <w:qFormat/>
    <w:rsid w:val="006463FA"/>
    <w:rPr>
      <w:rFonts w:ascii="Franklin Gothic Medium" w:hAnsi="Franklin Gothic Medium"/>
      <w:color w:val="053572" w:themeColor="text2"/>
      <w:sz w:val="24"/>
    </w:rPr>
  </w:style>
  <w:style w:type="paragraph" w:styleId="BalloonText">
    <w:name w:val="Balloon Text"/>
    <w:basedOn w:val="Normal"/>
    <w:semiHidden/>
    <w:rsid w:val="00B51ADD"/>
    <w:rPr>
      <w:rFonts w:ascii="Tahoma" w:hAnsi="Tahoma" w:cs="Tahoma"/>
      <w:sz w:val="16"/>
      <w:szCs w:val="16"/>
    </w:rPr>
  </w:style>
  <w:style w:type="paragraph" w:customStyle="1" w:styleId="Bullet1">
    <w:name w:val="Bullet 1"/>
    <w:basedOn w:val="Normal"/>
    <w:next w:val="Normal"/>
    <w:uiPriority w:val="99"/>
    <w:semiHidden/>
    <w:qFormat/>
    <w:rsid w:val="00F54AE8"/>
    <w:pPr>
      <w:numPr>
        <w:numId w:val="1"/>
      </w:numPr>
      <w:tabs>
        <w:tab w:val="num" w:pos="360"/>
      </w:tabs>
      <w:spacing w:after="120"/>
      <w:ind w:left="0" w:firstLine="0"/>
    </w:pPr>
  </w:style>
  <w:style w:type="paragraph" w:customStyle="1" w:styleId="Bullet2">
    <w:name w:val="Bullet 2"/>
    <w:basedOn w:val="Normal"/>
    <w:next w:val="Normal"/>
    <w:uiPriority w:val="99"/>
    <w:semiHidden/>
    <w:qFormat/>
    <w:rsid w:val="00F54AE8"/>
    <w:pPr>
      <w:numPr>
        <w:ilvl w:val="1"/>
        <w:numId w:val="2"/>
      </w:numPr>
      <w:tabs>
        <w:tab w:val="num" w:pos="360"/>
      </w:tabs>
      <w:spacing w:after="120"/>
      <w:ind w:left="0" w:firstLine="0"/>
    </w:pPr>
  </w:style>
  <w:style w:type="paragraph" w:customStyle="1" w:styleId="Bullet3">
    <w:name w:val="Bullet 3"/>
    <w:basedOn w:val="Normal"/>
    <w:next w:val="Normal"/>
    <w:uiPriority w:val="99"/>
    <w:semiHidden/>
    <w:qFormat/>
    <w:rsid w:val="00F54AE8"/>
    <w:pPr>
      <w:numPr>
        <w:ilvl w:val="2"/>
        <w:numId w:val="3"/>
      </w:numPr>
      <w:spacing w:after="120"/>
    </w:pPr>
  </w:style>
  <w:style w:type="paragraph" w:customStyle="1" w:styleId="CaptionFigure">
    <w:name w:val="Caption Figure"/>
    <w:uiPriority w:val="99"/>
    <w:semiHidden/>
    <w:qFormat/>
    <w:locked/>
    <w:rsid w:val="000C2EF9"/>
    <w:pPr>
      <w:keepNext/>
      <w:numPr>
        <w:numId w:val="4"/>
      </w:numPr>
      <w:spacing w:before="200" w:after="80" w:line="240" w:lineRule="auto"/>
      <w:jc w:val="center"/>
    </w:pPr>
    <w:rPr>
      <w:rFonts w:eastAsia="Times New Roman" w:cs="Times New Roman"/>
      <w:bCs/>
      <w:color w:val="4A4D56" w:themeColor="text1"/>
      <w:szCs w:val="20"/>
      <w:lang w:val="en-US"/>
    </w:rPr>
  </w:style>
  <w:style w:type="paragraph" w:customStyle="1" w:styleId="CaptionTable">
    <w:name w:val="Caption Table"/>
    <w:uiPriority w:val="99"/>
    <w:semiHidden/>
    <w:qFormat/>
    <w:locked/>
    <w:rsid w:val="000C2EF9"/>
    <w:pPr>
      <w:keepNext/>
      <w:numPr>
        <w:numId w:val="5"/>
      </w:numPr>
      <w:spacing w:before="200" w:after="80" w:line="240" w:lineRule="auto"/>
      <w:jc w:val="center"/>
    </w:pPr>
    <w:rPr>
      <w:rFonts w:eastAsia="Times New Roman" w:cs="Times New Roman"/>
      <w:bCs/>
      <w:color w:val="4A4D56" w:themeColor="text1"/>
      <w:szCs w:val="20"/>
      <w:lang w:val="en-US"/>
    </w:rPr>
  </w:style>
  <w:style w:type="paragraph" w:customStyle="1" w:styleId="CenterTableText">
    <w:name w:val="Center Table Text"/>
    <w:uiPriority w:val="14"/>
    <w:semiHidden/>
    <w:rsid w:val="00BD0DC6"/>
    <w:pPr>
      <w:spacing w:after="0" w:line="240" w:lineRule="auto"/>
      <w:jc w:val="center"/>
    </w:pPr>
    <w:rPr>
      <w:rFonts w:ascii="Franklin Gothic Book" w:eastAsia="Times New Roman" w:hAnsi="Franklin Gothic Book" w:cs="Times New Roman"/>
      <w:sz w:val="20"/>
      <w:lang w:val="en-US"/>
    </w:rPr>
  </w:style>
  <w:style w:type="paragraph" w:customStyle="1" w:styleId="TOC3Style">
    <w:name w:val="TOC 3 Style"/>
    <w:semiHidden/>
    <w:rsid w:val="001C4ACA"/>
    <w:pPr>
      <w:tabs>
        <w:tab w:val="right" w:leader="dot" w:pos="9360"/>
      </w:tabs>
      <w:spacing w:before="100"/>
      <w:ind w:left="1584" w:right="-4" w:hanging="648"/>
    </w:pPr>
    <w:rPr>
      <w:rFonts w:ascii="Franklin Gothic Book" w:eastAsia="Times New Roman" w:hAnsi="Franklin Gothic Book" w:cs="Times New Roman"/>
      <w:color w:val="4A4D56" w:themeColor="text1"/>
      <w:szCs w:val="20"/>
      <w:lang w:val="en-US"/>
    </w:rPr>
  </w:style>
  <w:style w:type="paragraph" w:styleId="CommentSubject">
    <w:name w:val="annotation subject"/>
    <w:semiHidden/>
    <w:rsid w:val="00B51ADD"/>
    <w:pPr>
      <w:spacing w:before="200" w:line="240" w:lineRule="auto"/>
      <w:jc w:val="both"/>
    </w:pPr>
    <w:rPr>
      <w:rFonts w:ascii="Franklin Gothic Book" w:eastAsia="Times New Roman" w:hAnsi="Franklin Gothic Book" w:cs="Times New Roman"/>
      <w:b/>
      <w:bCs/>
      <w:sz w:val="20"/>
      <w:szCs w:val="20"/>
      <w:lang w:val="en-US"/>
    </w:rPr>
  </w:style>
  <w:style w:type="paragraph" w:styleId="CommentText">
    <w:name w:val="annotation text"/>
    <w:basedOn w:val="Normal"/>
    <w:link w:val="CommentTextChar"/>
    <w:uiPriority w:val="99"/>
    <w:semiHidden/>
    <w:rsid w:val="00B51ADD"/>
    <w:rPr>
      <w:sz w:val="20"/>
      <w:szCs w:val="20"/>
    </w:rPr>
  </w:style>
  <w:style w:type="character" w:styleId="Emphasis">
    <w:name w:val="Emphasis"/>
    <w:basedOn w:val="DefaultParagraphFont"/>
    <w:uiPriority w:val="4"/>
    <w:qFormat/>
    <w:rsid w:val="00B51ADD"/>
    <w:rPr>
      <w:i/>
      <w:iCs/>
    </w:rPr>
  </w:style>
  <w:style w:type="paragraph" w:styleId="EndnoteText">
    <w:name w:val="endnote text"/>
    <w:basedOn w:val="Normal"/>
    <w:uiPriority w:val="69"/>
    <w:rsid w:val="002A6F47"/>
    <w:pPr>
      <w:spacing w:after="0"/>
    </w:pPr>
    <w:rPr>
      <w:sz w:val="18"/>
      <w:szCs w:val="20"/>
    </w:rPr>
  </w:style>
  <w:style w:type="paragraph" w:customStyle="1" w:styleId="FigureCaption">
    <w:name w:val="Figure_Caption"/>
    <w:basedOn w:val="Normal"/>
    <w:next w:val="Normal"/>
    <w:uiPriority w:val="3"/>
    <w:semiHidden/>
    <w:qFormat/>
    <w:locked/>
    <w:rsid w:val="00B51ADD"/>
    <w:pPr>
      <w:keepNext/>
      <w:keepLines/>
      <w:suppressAutoHyphens/>
      <w:spacing w:before="320" w:after="120"/>
      <w:jc w:val="center"/>
    </w:pPr>
    <w:rPr>
      <w:b/>
    </w:rPr>
  </w:style>
  <w:style w:type="character" w:styleId="FollowedHyperlink">
    <w:name w:val="FollowedHyperlink"/>
    <w:basedOn w:val="DefaultParagraphFont"/>
    <w:uiPriority w:val="69"/>
    <w:rsid w:val="001C4ACA"/>
    <w:rPr>
      <w:rFonts w:asciiTheme="minorHAnsi" w:hAnsiTheme="minorHAnsi"/>
      <w:color w:val="5661AC" w:themeColor="accent5"/>
      <w:sz w:val="22"/>
      <w:u w:val="single"/>
    </w:rPr>
  </w:style>
  <w:style w:type="character" w:styleId="FootnoteReference">
    <w:name w:val="footnote reference"/>
    <w:basedOn w:val="DefaultParagraphFont"/>
    <w:uiPriority w:val="69"/>
    <w:rsid w:val="00B51ADD"/>
    <w:rPr>
      <w:vertAlign w:val="superscript"/>
    </w:rPr>
  </w:style>
  <w:style w:type="paragraph" w:styleId="FootnoteText">
    <w:name w:val="footnote text"/>
    <w:basedOn w:val="Normal"/>
    <w:link w:val="FootnoteTextChar"/>
    <w:uiPriority w:val="69"/>
    <w:rsid w:val="002A6F47"/>
    <w:pPr>
      <w:spacing w:after="0"/>
    </w:pPr>
    <w:rPr>
      <w:sz w:val="18"/>
      <w:szCs w:val="20"/>
    </w:rPr>
  </w:style>
  <w:style w:type="paragraph" w:customStyle="1" w:styleId="GraphFootnote">
    <w:name w:val="Graph Footnote"/>
    <w:basedOn w:val="Normal"/>
    <w:next w:val="Normal"/>
    <w:uiPriority w:val="99"/>
    <w:semiHidden/>
    <w:locked/>
    <w:rsid w:val="00B51ADD"/>
    <w:pPr>
      <w:spacing w:after="0"/>
    </w:pPr>
    <w:rPr>
      <w:rFonts w:ascii="Times New Roman" w:hAnsi="Times New Roman"/>
      <w:i/>
      <w:sz w:val="18"/>
    </w:rPr>
  </w:style>
  <w:style w:type="table" w:styleId="GridTable1Light-Accent1">
    <w:name w:val="Grid Table 1 Light Accent 1"/>
    <w:basedOn w:val="TableNormal"/>
    <w:uiPriority w:val="46"/>
    <w:locked/>
    <w:rsid w:val="00D721EA"/>
    <w:pPr>
      <w:spacing w:before="200" w:after="0" w:line="240" w:lineRule="auto"/>
    </w:pPr>
    <w:rPr>
      <w:rFonts w:ascii="Franklin Gothic Book" w:eastAsia="Times New Roman" w:hAnsi="Franklin Gothic Book" w:cs="Times New Roman"/>
      <w:lang w:val="en-US"/>
    </w:rPr>
    <w:tblPr>
      <w:tblStyleRowBandSize w:val="1"/>
      <w:tblStyleColBandSize w:val="1"/>
      <w:tblBorders>
        <w:top w:val="single" w:sz="4" w:space="0" w:color="809EDC" w:themeColor="accent1" w:themeTint="66"/>
        <w:left w:val="single" w:sz="4" w:space="0" w:color="809EDC" w:themeColor="accent1" w:themeTint="66"/>
        <w:bottom w:val="single" w:sz="4" w:space="0" w:color="809EDC" w:themeColor="accent1" w:themeTint="66"/>
        <w:right w:val="single" w:sz="4" w:space="0" w:color="809EDC" w:themeColor="accent1" w:themeTint="66"/>
        <w:insideH w:val="single" w:sz="4" w:space="0" w:color="809EDC" w:themeColor="accent1" w:themeTint="66"/>
        <w:insideV w:val="single" w:sz="4" w:space="0" w:color="809EDC" w:themeColor="accent1" w:themeTint="66"/>
      </w:tblBorders>
    </w:tblPr>
    <w:tblStylePr w:type="firstRow">
      <w:rPr>
        <w:b/>
        <w:bCs/>
      </w:rPr>
      <w:tblPr/>
      <w:tcPr>
        <w:tcBorders>
          <w:bottom w:val="single" w:sz="12" w:space="0" w:color="416DCB" w:themeColor="accent1" w:themeTint="99"/>
        </w:tcBorders>
      </w:tcPr>
    </w:tblStylePr>
    <w:tblStylePr w:type="lastRow">
      <w:rPr>
        <w:b/>
        <w:bCs/>
      </w:rPr>
      <w:tblPr/>
      <w:tcPr>
        <w:tcBorders>
          <w:top w:val="double" w:sz="2" w:space="0" w:color="416DCB" w:themeColor="accent1" w:themeTint="99"/>
        </w:tcBorders>
      </w:tcPr>
    </w:tblStylePr>
    <w:tblStylePr w:type="firstCol">
      <w:rPr>
        <w:b/>
        <w:bCs/>
      </w:rPr>
    </w:tblStylePr>
    <w:tblStylePr w:type="lastCol">
      <w:rPr>
        <w:b/>
        <w:bCs/>
      </w:rPr>
    </w:tblStylePr>
  </w:style>
  <w:style w:type="paragraph" w:customStyle="1" w:styleId="Headernone">
    <w:name w:val="Header_none"/>
    <w:uiPriority w:val="1"/>
    <w:semiHidden/>
    <w:locked/>
    <w:rsid w:val="00B51ADD"/>
    <w:pPr>
      <w:tabs>
        <w:tab w:val="right" w:pos="9360"/>
      </w:tabs>
      <w:spacing w:before="200" w:line="240" w:lineRule="auto"/>
      <w:jc w:val="both"/>
    </w:pPr>
    <w:rPr>
      <w:rFonts w:ascii="Franklin Gothic Book" w:eastAsia="Times New Roman" w:hAnsi="Franklin Gothic Book" w:cs="Times New Roman"/>
      <w:i/>
      <w:noProof/>
      <w:sz w:val="16"/>
      <w:szCs w:val="16"/>
      <w:lang w:val="en-US"/>
    </w:rPr>
  </w:style>
  <w:style w:type="character" w:styleId="Hyperlink">
    <w:name w:val="Hyperlink"/>
    <w:basedOn w:val="DefaultParagraphFont"/>
    <w:uiPriority w:val="99"/>
    <w:rsid w:val="001C4ACA"/>
    <w:rPr>
      <w:rFonts w:asciiTheme="minorHAnsi" w:hAnsiTheme="minorHAnsi"/>
      <w:noProof/>
      <w:color w:val="5661AC" w:themeColor="accent5"/>
      <w:sz w:val="22"/>
      <w:u w:val="single"/>
    </w:rPr>
  </w:style>
  <w:style w:type="paragraph" w:styleId="Index1">
    <w:name w:val="index 1"/>
    <w:basedOn w:val="Normal"/>
    <w:next w:val="Normal"/>
    <w:autoRedefine/>
    <w:semiHidden/>
    <w:rsid w:val="00B51ADD"/>
    <w:pPr>
      <w:ind w:left="240" w:hanging="240"/>
    </w:pPr>
  </w:style>
  <w:style w:type="character" w:styleId="IntenseEmphasis">
    <w:name w:val="Intense Emphasis"/>
    <w:aliases w:val="Emphasis (Intense)"/>
    <w:basedOn w:val="DefaultParagraphFont"/>
    <w:uiPriority w:val="4"/>
    <w:rsid w:val="005529E5"/>
    <w:rPr>
      <w:rFonts w:ascii="Franklin Gothic Demi" w:hAnsi="Franklin Gothic Demi"/>
      <w:b w:val="0"/>
      <w:i w:val="0"/>
      <w:iCs/>
      <w:color w:val="4A4D56" w:themeColor="text1"/>
      <w:sz w:val="22"/>
    </w:rPr>
  </w:style>
  <w:style w:type="paragraph" w:styleId="ListBullet">
    <w:name w:val="List Bullet"/>
    <w:basedOn w:val="Normal"/>
    <w:uiPriority w:val="9"/>
    <w:qFormat/>
    <w:rsid w:val="002E20E6"/>
    <w:pPr>
      <w:numPr>
        <w:numId w:val="14"/>
      </w:numPr>
      <w:spacing w:before="120" w:after="120"/>
      <w:ind w:left="465" w:hanging="285"/>
    </w:pPr>
  </w:style>
  <w:style w:type="paragraph" w:styleId="ListBullet2">
    <w:name w:val="List Bullet 2"/>
    <w:uiPriority w:val="9"/>
    <w:qFormat/>
    <w:rsid w:val="001C32D6"/>
    <w:pPr>
      <w:numPr>
        <w:ilvl w:val="1"/>
        <w:numId w:val="14"/>
      </w:numPr>
      <w:spacing w:before="120" w:after="120"/>
      <w:ind w:left="735" w:hanging="285"/>
    </w:pPr>
    <w:rPr>
      <w:rFonts w:ascii="Franklin Gothic Book" w:eastAsia="Times New Roman" w:hAnsi="Franklin Gothic Book" w:cs="Times New Roman"/>
      <w:color w:val="4A4D56" w:themeColor="text1"/>
      <w:lang w:val="en-US"/>
    </w:rPr>
  </w:style>
  <w:style w:type="paragraph" w:styleId="ListBullet3">
    <w:name w:val="List Bullet 3"/>
    <w:uiPriority w:val="9"/>
    <w:qFormat/>
    <w:rsid w:val="001C32D6"/>
    <w:pPr>
      <w:numPr>
        <w:ilvl w:val="2"/>
        <w:numId w:val="14"/>
      </w:numPr>
      <w:spacing w:before="120" w:after="120"/>
      <w:ind w:left="1035" w:hanging="285"/>
    </w:pPr>
    <w:rPr>
      <w:rFonts w:ascii="Franklin Gothic Book" w:eastAsia="Times New Roman" w:hAnsi="Franklin Gothic Book" w:cs="Times New Roman"/>
      <w:color w:val="4A4D56" w:themeColor="text1"/>
      <w:lang w:val="en-US"/>
    </w:rPr>
  </w:style>
  <w:style w:type="paragraph" w:styleId="ListNumber">
    <w:name w:val="List Number"/>
    <w:basedOn w:val="Normal"/>
    <w:uiPriority w:val="99"/>
    <w:semiHidden/>
    <w:rsid w:val="00351E32"/>
    <w:pPr>
      <w:numPr>
        <w:numId w:val="7"/>
      </w:numPr>
      <w:spacing w:after="120"/>
    </w:pPr>
  </w:style>
  <w:style w:type="paragraph" w:styleId="ListNumber2">
    <w:name w:val="List Number 2"/>
    <w:basedOn w:val="Normal"/>
    <w:uiPriority w:val="99"/>
    <w:semiHidden/>
    <w:rsid w:val="00351E32"/>
    <w:pPr>
      <w:numPr>
        <w:numId w:val="8"/>
      </w:numPr>
      <w:spacing w:after="120"/>
    </w:pPr>
  </w:style>
  <w:style w:type="paragraph" w:styleId="ListNumber3">
    <w:name w:val="List Number 3"/>
    <w:basedOn w:val="Normal"/>
    <w:uiPriority w:val="99"/>
    <w:semiHidden/>
    <w:rsid w:val="004D778A"/>
    <w:pPr>
      <w:numPr>
        <w:numId w:val="9"/>
      </w:numPr>
      <w:contextualSpacing/>
    </w:pPr>
  </w:style>
  <w:style w:type="paragraph" w:customStyle="1" w:styleId="ListNumber1">
    <w:name w:val="List Number1"/>
    <w:basedOn w:val="Normal"/>
    <w:uiPriority w:val="99"/>
    <w:semiHidden/>
    <w:locked/>
    <w:rsid w:val="00351E32"/>
    <w:pPr>
      <w:tabs>
        <w:tab w:val="num" w:pos="360"/>
      </w:tabs>
      <w:spacing w:after="120"/>
      <w:ind w:left="360" w:hanging="360"/>
    </w:pPr>
  </w:style>
  <w:style w:type="paragraph" w:styleId="ListParagraph">
    <w:name w:val="List Paragraph"/>
    <w:basedOn w:val="Normal"/>
    <w:uiPriority w:val="1"/>
    <w:rsid w:val="00BD0DC6"/>
    <w:pPr>
      <w:ind w:left="720"/>
      <w:contextualSpacing/>
    </w:pPr>
  </w:style>
  <w:style w:type="table" w:styleId="ListTable7Colorful-Accent1">
    <w:name w:val="List Table 7 Colorful Accent 1"/>
    <w:basedOn w:val="TableNormal"/>
    <w:uiPriority w:val="52"/>
    <w:locked/>
    <w:rsid w:val="006B3D7D"/>
    <w:pPr>
      <w:spacing w:after="0" w:line="240" w:lineRule="auto"/>
    </w:pPr>
    <w:rPr>
      <w:rFonts w:ascii="Franklin Gothic Book" w:eastAsia="Franklin Gothic Book" w:hAnsi="Franklin Gothic Book" w:cs="Times New Roman"/>
      <w:color w:val="032755"/>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72B5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72B5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72B5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72B54" w:themeColor="accent1"/>
        </w:tcBorders>
        <w:shd w:val="clear" w:color="auto" w:fill="FFFFFF" w:themeFill="background1"/>
      </w:tcPr>
    </w:tblStylePr>
    <w:tblStylePr w:type="band1Vert">
      <w:tblPr/>
      <w:tcPr>
        <w:shd w:val="clear" w:color="auto" w:fill="BFCEED" w:themeFill="accent1" w:themeFillTint="33"/>
      </w:tcPr>
    </w:tblStylePr>
    <w:tblStylePr w:type="band1Horz">
      <w:tblPr/>
      <w:tcPr>
        <w:shd w:val="clear" w:color="auto" w:fill="BFCE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NoList1">
    <w:name w:val="No. List 1"/>
    <w:uiPriority w:val="9"/>
    <w:rsid w:val="00E65671"/>
    <w:pPr>
      <w:numPr>
        <w:numId w:val="10"/>
      </w:numPr>
      <w:spacing w:after="120" w:line="240" w:lineRule="auto"/>
      <w:jc w:val="both"/>
    </w:pPr>
    <w:rPr>
      <w:rFonts w:ascii="Franklin Gothic Book" w:eastAsia="Times New Roman" w:hAnsi="Franklin Gothic Book" w:cs="Times New Roman"/>
      <w:color w:val="4A4D56" w:themeColor="text1"/>
      <w:lang w:val="en-US"/>
    </w:rPr>
  </w:style>
  <w:style w:type="paragraph" w:customStyle="1" w:styleId="NoList2">
    <w:name w:val="No. List 2"/>
    <w:uiPriority w:val="9"/>
    <w:rsid w:val="00E65671"/>
    <w:pPr>
      <w:numPr>
        <w:ilvl w:val="1"/>
        <w:numId w:val="11"/>
      </w:numPr>
      <w:spacing w:after="120" w:line="240" w:lineRule="auto"/>
      <w:jc w:val="both"/>
    </w:pPr>
    <w:rPr>
      <w:rFonts w:ascii="Franklin Gothic Book" w:eastAsia="Times New Roman" w:hAnsi="Franklin Gothic Book" w:cs="Times New Roman"/>
      <w:color w:val="4A4D56" w:themeColor="text1"/>
      <w:lang w:val="en-US"/>
    </w:rPr>
  </w:style>
  <w:style w:type="paragraph" w:customStyle="1" w:styleId="NoList3">
    <w:name w:val="No. List 3"/>
    <w:uiPriority w:val="9"/>
    <w:rsid w:val="00E65671"/>
    <w:pPr>
      <w:numPr>
        <w:ilvl w:val="2"/>
        <w:numId w:val="12"/>
      </w:numPr>
      <w:spacing w:after="120" w:line="240" w:lineRule="auto"/>
      <w:jc w:val="both"/>
    </w:pPr>
    <w:rPr>
      <w:rFonts w:ascii="Franklin Gothic Book" w:eastAsia="Times New Roman" w:hAnsi="Franklin Gothic Book" w:cs="Times New Roman"/>
      <w:color w:val="4A4D56" w:themeColor="text1"/>
      <w:lang w:val="en-US"/>
    </w:rPr>
  </w:style>
  <w:style w:type="paragraph" w:styleId="NormalWeb">
    <w:name w:val="Normal (Web)"/>
    <w:basedOn w:val="Normal"/>
    <w:uiPriority w:val="99"/>
    <w:semiHidden/>
    <w:rsid w:val="00B51ADD"/>
    <w:pPr>
      <w:spacing w:before="100" w:beforeAutospacing="1" w:after="100" w:afterAutospacing="1"/>
    </w:pPr>
    <w:rPr>
      <w:rFonts w:ascii="Times New Roman" w:hAnsi="Times New Roman"/>
    </w:rPr>
  </w:style>
  <w:style w:type="paragraph" w:customStyle="1" w:styleId="NormalCenter">
    <w:name w:val="Normal Center"/>
    <w:basedOn w:val="Normal"/>
    <w:uiPriority w:val="1"/>
    <w:rsid w:val="001E1344"/>
    <w:pPr>
      <w:jc w:val="center"/>
    </w:pPr>
    <w:rPr>
      <w:noProof/>
    </w:rPr>
  </w:style>
  <w:style w:type="numbering" w:customStyle="1" w:styleId="ODBulletList">
    <w:name w:val="OD Bullet List"/>
    <w:uiPriority w:val="99"/>
    <w:rsid w:val="0028728B"/>
  </w:style>
  <w:style w:type="numbering" w:customStyle="1" w:styleId="ODNumberList">
    <w:name w:val="OD Number List"/>
    <w:uiPriority w:val="99"/>
    <w:rsid w:val="00BD0DC6"/>
  </w:style>
  <w:style w:type="table" w:customStyle="1" w:styleId="ODCBasic-1">
    <w:name w:val="ODC_Basic-1"/>
    <w:basedOn w:val="TableNormal"/>
    <w:uiPriority w:val="99"/>
    <w:qFormat/>
    <w:rsid w:val="00E6039A"/>
    <w:pPr>
      <w:spacing w:after="0" w:line="240" w:lineRule="auto"/>
    </w:pPr>
    <w:rPr>
      <w:rFonts w:ascii="Franklin Gothic Book" w:eastAsia="Times New Roman" w:hAnsi="Franklin Gothic Book" w:cs="Times New Roman"/>
      <w:color w:val="FFFFFF" w:themeColor="background1"/>
      <w:sz w:val="18"/>
      <w:szCs w:val="20"/>
      <w:lang w:val="en-US"/>
    </w:rPr>
    <w:tblPr>
      <w:tblStyleRowBandSize w:val="1"/>
      <w:tblStyleColBandSize w:val="1"/>
      <w:jc w:val="center"/>
      <w:tblBorders>
        <w:top w:val="single" w:sz="4" w:space="0" w:color="4D4D4F"/>
        <w:left w:val="single" w:sz="4" w:space="0" w:color="4D4D4F"/>
        <w:bottom w:val="single" w:sz="4" w:space="0" w:color="4D4D4F"/>
        <w:right w:val="single" w:sz="4" w:space="0" w:color="4D4D4F"/>
        <w:insideH w:val="single" w:sz="4" w:space="0" w:color="4D4D4F"/>
        <w:insideV w:val="single" w:sz="4" w:space="0" w:color="4D4D4F"/>
      </w:tblBorders>
      <w:tblCellMar>
        <w:top w:w="29" w:type="dxa"/>
        <w:left w:w="72" w:type="dxa"/>
        <w:bottom w:w="29" w:type="dxa"/>
        <w:right w:w="72" w:type="dxa"/>
      </w:tblCellMar>
    </w:tblPr>
    <w:trPr>
      <w:jc w:val="center"/>
    </w:trPr>
    <w:tcPr>
      <w:shd w:val="clear" w:color="auto" w:fill="auto"/>
      <w:vAlign w:val="center"/>
    </w:tcPr>
    <w:tblStylePr w:type="firstRow">
      <w:pPr>
        <w:wordWrap/>
        <w:spacing w:beforeLines="0" w:before="0" w:beforeAutospacing="0" w:afterLines="0" w:after="0" w:afterAutospacing="0" w:line="240" w:lineRule="auto"/>
        <w:ind w:leftChars="0" w:left="0" w:rightChars="0" w:right="0" w:firstLineChars="0" w:firstLine="0"/>
        <w:contextualSpacing/>
        <w:jc w:val="center"/>
        <w:outlineLvl w:val="9"/>
      </w:pPr>
      <w:rPr>
        <w:rFonts w:ascii="Franklin Gothic Medium" w:hAnsi="Franklin Gothic Medium"/>
        <w:b w:val="0"/>
        <w:i w:val="0"/>
        <w:iCs/>
        <w:color w:val="1FA9E1" w:themeColor="accent3"/>
        <w:sz w:val="18"/>
      </w:rPr>
      <w:tblPr/>
      <w:tcPr>
        <w:tcBorders>
          <w:bottom w:val="single" w:sz="4" w:space="0" w:color="FFFFFF" w:themeColor="background2"/>
        </w:tcBorders>
        <w:shd w:val="clear" w:color="auto" w:fill="053572" w:themeFill="text2"/>
      </w:tcPr>
    </w:tblStylePr>
    <w:tblStylePr w:type="lastRow">
      <w:pPr>
        <w:jc w:val="left"/>
      </w:pPr>
      <w:rPr>
        <w:rFonts w:asciiTheme="minorHAnsi" w:hAnsiTheme="minorHAnsi"/>
        <w:b/>
        <w:color w:val="auto"/>
        <w:sz w:val="20"/>
      </w:r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l2br w:val="none" w:sz="0" w:space="0" w:color="auto"/>
          <w:tr2bl w:val="none" w:sz="0" w:space="0" w:color="auto"/>
        </w:tcBorders>
        <w:shd w:val="clear" w:color="auto" w:fill="auto"/>
      </w:tcPr>
    </w:tblStylePr>
    <w:tblStylePr w:type="firstCol">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l2br w:val="none" w:sz="0" w:space="0" w:color="auto"/>
          <w:tr2bl w:val="none" w:sz="0" w:space="0" w:color="auto"/>
        </w:tcBorders>
        <w:shd w:val="clear" w:color="auto" w:fill="auto"/>
      </w:tcPr>
    </w:tblStylePr>
    <w:tblStylePr w:type="lastCol">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1Vert">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2Vert">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1Horz">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2Horz">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PageNumber">
    <w:name w:val="page number"/>
    <w:basedOn w:val="DefaultParagraphFont"/>
    <w:uiPriority w:val="99"/>
    <w:semiHidden/>
    <w:rsid w:val="00B51ADD"/>
  </w:style>
  <w:style w:type="character" w:styleId="PlaceholderText">
    <w:name w:val="Placeholder Text"/>
    <w:basedOn w:val="DefaultParagraphFont"/>
    <w:uiPriority w:val="99"/>
    <w:semiHidden/>
    <w:rsid w:val="002C33BF"/>
    <w:rPr>
      <w:color w:val="808080"/>
    </w:rPr>
  </w:style>
  <w:style w:type="table" w:styleId="PlainTable1">
    <w:name w:val="Plain Table 1"/>
    <w:basedOn w:val="TableNormal"/>
    <w:uiPriority w:val="41"/>
    <w:locked/>
    <w:rsid w:val="006143D1"/>
    <w:pPr>
      <w:spacing w:before="200" w:after="0" w:line="240" w:lineRule="auto"/>
    </w:pPr>
    <w:rPr>
      <w:rFonts w:ascii="Franklin Gothic Book" w:eastAsia="Times New Roman" w:hAnsi="Franklin Gothic Book" w:cs="Times New Roman"/>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locked/>
    <w:rsid w:val="00904FB6"/>
    <w:pPr>
      <w:spacing w:before="200" w:after="0" w:line="240" w:lineRule="auto"/>
    </w:pPr>
    <w:rPr>
      <w:rFonts w:ascii="Franklin Gothic Book" w:eastAsia="Times New Roman" w:hAnsi="Franklin Gothic Book" w:cs="Times New Roman"/>
      <w:lang w:val="en-US"/>
    </w:rPr>
    <w:tblPr>
      <w:tblStyleRowBandSize w:val="1"/>
      <w:tblStyleColBandSize w:val="1"/>
    </w:tblPr>
    <w:tblStylePr w:type="firstRow">
      <w:rPr>
        <w:b/>
        <w:bCs/>
        <w:caps/>
      </w:rPr>
      <w:tblPr/>
      <w:tcPr>
        <w:tcBorders>
          <w:bottom w:val="single" w:sz="4" w:space="0" w:color="A0A3AD"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0A3AD"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QuoteStyle">
    <w:name w:val="Quote Style"/>
    <w:basedOn w:val="Normal"/>
    <w:next w:val="Normal"/>
    <w:uiPriority w:val="5"/>
    <w:rsid w:val="00D075CA"/>
    <w:pPr>
      <w:jc w:val="center"/>
    </w:pPr>
    <w:rPr>
      <w:color w:val="6B9BDE" w:themeColor="accent2" w:themeTint="99"/>
      <w:sz w:val="24"/>
    </w:rPr>
  </w:style>
  <w:style w:type="paragraph" w:styleId="Quote">
    <w:name w:val="Quote"/>
    <w:basedOn w:val="Normal"/>
    <w:next w:val="Normal"/>
    <w:uiPriority w:val="99"/>
    <w:semiHidden/>
    <w:qFormat/>
    <w:rsid w:val="00C970BA"/>
    <w:pPr>
      <w:ind w:left="864" w:right="864"/>
      <w:jc w:val="center"/>
    </w:pPr>
    <w:rPr>
      <w:i/>
      <w:iCs/>
    </w:rPr>
  </w:style>
  <w:style w:type="paragraph" w:styleId="Signature">
    <w:name w:val="Signature"/>
    <w:basedOn w:val="Normal"/>
    <w:uiPriority w:val="99"/>
    <w:semiHidden/>
    <w:rsid w:val="00B51ADD"/>
    <w:pPr>
      <w:spacing w:after="0"/>
      <w:ind w:left="4320"/>
    </w:pPr>
  </w:style>
  <w:style w:type="character" w:styleId="SubtleEmphasis">
    <w:name w:val="Subtle Emphasis"/>
    <w:aliases w:val="Emphasis (Subtle)"/>
    <w:uiPriority w:val="4"/>
    <w:qFormat/>
    <w:rsid w:val="005529E5"/>
    <w:rPr>
      <w:rFonts w:asciiTheme="minorHAnsi" w:hAnsiTheme="minorHAnsi"/>
      <w:b/>
      <w:iCs/>
      <w:color w:val="4A4D56" w:themeColor="text1"/>
      <w:sz w:val="22"/>
    </w:rPr>
  </w:style>
  <w:style w:type="paragraph" w:styleId="TOC1">
    <w:name w:val="toc 1"/>
    <w:basedOn w:val="Normal"/>
    <w:next w:val="Normal"/>
    <w:autoRedefine/>
    <w:uiPriority w:val="39"/>
    <w:semiHidden/>
    <w:qFormat/>
    <w:rsid w:val="00155088"/>
    <w:pPr>
      <w:tabs>
        <w:tab w:val="left" w:pos="1584"/>
        <w:tab w:val="right" w:leader="dot" w:pos="10746"/>
      </w:tabs>
      <w:spacing w:before="120" w:after="120"/>
      <w:ind w:left="360" w:right="-4" w:hanging="360"/>
    </w:pPr>
    <w:rPr>
      <w:noProof/>
    </w:rPr>
  </w:style>
  <w:style w:type="paragraph" w:styleId="TOC2">
    <w:name w:val="toc 2"/>
    <w:basedOn w:val="Normal"/>
    <w:next w:val="Normal"/>
    <w:autoRedefine/>
    <w:uiPriority w:val="39"/>
    <w:semiHidden/>
    <w:rsid w:val="00A14F20"/>
    <w:pPr>
      <w:tabs>
        <w:tab w:val="left" w:leader="dot" w:pos="1152"/>
        <w:tab w:val="right" w:leader="dot" w:pos="10746"/>
      </w:tabs>
      <w:spacing w:before="120" w:after="120"/>
      <w:ind w:left="936" w:right="360" w:hanging="504"/>
    </w:pPr>
    <w:rPr>
      <w:noProof/>
    </w:rPr>
  </w:style>
  <w:style w:type="paragraph" w:styleId="TOC3">
    <w:name w:val="toc 3"/>
    <w:basedOn w:val="Normal"/>
    <w:next w:val="Normal"/>
    <w:autoRedefine/>
    <w:uiPriority w:val="39"/>
    <w:semiHidden/>
    <w:rsid w:val="00046703"/>
    <w:pPr>
      <w:tabs>
        <w:tab w:val="right" w:leader="dot" w:pos="9360"/>
      </w:tabs>
      <w:spacing w:before="100"/>
      <w:ind w:left="1584" w:right="333" w:hanging="648"/>
    </w:pPr>
  </w:style>
  <w:style w:type="paragraph" w:styleId="TOC4">
    <w:name w:val="toc 4"/>
    <w:basedOn w:val="Normal"/>
    <w:next w:val="Normal"/>
    <w:autoRedefine/>
    <w:uiPriority w:val="39"/>
    <w:semiHidden/>
    <w:rsid w:val="00721364"/>
    <w:pPr>
      <w:spacing w:after="0"/>
      <w:ind w:left="660"/>
    </w:pPr>
    <w:rPr>
      <w:sz w:val="20"/>
      <w:szCs w:val="20"/>
    </w:rPr>
  </w:style>
  <w:style w:type="paragraph" w:styleId="TOC5">
    <w:name w:val="toc 5"/>
    <w:basedOn w:val="Normal"/>
    <w:next w:val="Normal"/>
    <w:autoRedefine/>
    <w:uiPriority w:val="39"/>
    <w:semiHidden/>
    <w:rsid w:val="00721364"/>
    <w:pPr>
      <w:spacing w:after="0"/>
      <w:ind w:left="880"/>
    </w:pPr>
    <w:rPr>
      <w:sz w:val="20"/>
      <w:szCs w:val="20"/>
    </w:rPr>
  </w:style>
  <w:style w:type="paragraph" w:styleId="TOC6">
    <w:name w:val="toc 6"/>
    <w:basedOn w:val="Normal"/>
    <w:next w:val="Normal"/>
    <w:autoRedefine/>
    <w:uiPriority w:val="39"/>
    <w:semiHidden/>
    <w:rsid w:val="00721364"/>
    <w:pPr>
      <w:spacing w:after="0"/>
      <w:ind w:left="1100"/>
    </w:pPr>
    <w:rPr>
      <w:sz w:val="20"/>
      <w:szCs w:val="20"/>
    </w:rPr>
  </w:style>
  <w:style w:type="paragraph" w:styleId="TOC9">
    <w:name w:val="toc 9"/>
    <w:basedOn w:val="Normal"/>
    <w:next w:val="Normal"/>
    <w:autoRedefine/>
    <w:uiPriority w:val="99"/>
    <w:semiHidden/>
    <w:rsid w:val="00102DB2"/>
    <w:pPr>
      <w:spacing w:after="100"/>
      <w:ind w:left="1760"/>
    </w:pPr>
  </w:style>
  <w:style w:type="paragraph" w:styleId="TOCHeading">
    <w:name w:val="TOC Heading"/>
    <w:basedOn w:val="Normal"/>
    <w:uiPriority w:val="39"/>
    <w:unhideWhenUsed/>
    <w:qFormat/>
    <w:rsid w:val="003B615C"/>
    <w:pPr>
      <w:spacing w:line="500" w:lineRule="exact"/>
    </w:pPr>
    <w:rPr>
      <w:rFonts w:ascii="Rift Soft" w:hAnsi="Rift Soft"/>
      <w:color w:val="053572"/>
      <w:sz w:val="48"/>
      <w:szCs w:val="48"/>
    </w:rPr>
  </w:style>
  <w:style w:type="table" w:styleId="Table3Deffects3">
    <w:name w:val="Table 3D effects 3"/>
    <w:basedOn w:val="TableNormal"/>
    <w:locked/>
    <w:rsid w:val="004B54F7"/>
    <w:pPr>
      <w:spacing w:before="200" w:line="240" w:lineRule="auto"/>
      <w:jc w:val="both"/>
    </w:pPr>
    <w:rPr>
      <w:rFonts w:ascii="Franklin Gothic Book" w:eastAsia="Times New Roman" w:hAnsi="Franklin Gothic Book" w:cs="Times New Roman"/>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
    <w:name w:val="Table Bullet"/>
    <w:basedOn w:val="Normal"/>
    <w:uiPriority w:val="6"/>
    <w:qFormat/>
    <w:rsid w:val="00800410"/>
    <w:pPr>
      <w:numPr>
        <w:numId w:val="13"/>
      </w:numPr>
      <w:spacing w:after="0"/>
      <w:ind w:left="144" w:hanging="144"/>
    </w:pPr>
    <w:rPr>
      <w:sz w:val="20"/>
      <w:szCs w:val="20"/>
    </w:rPr>
  </w:style>
  <w:style w:type="paragraph" w:customStyle="1" w:styleId="TableCenterText">
    <w:name w:val="Table Center Text"/>
    <w:uiPriority w:val="6"/>
    <w:rsid w:val="005F02B5"/>
    <w:pPr>
      <w:spacing w:before="10" w:after="0" w:line="240" w:lineRule="auto"/>
      <w:jc w:val="center"/>
    </w:pPr>
    <w:rPr>
      <w:rFonts w:ascii="Franklin Gothic Book" w:eastAsia="Times New Roman" w:hAnsi="Franklin Gothic Book" w:cs="Times New Roman"/>
      <w:color w:val="4A4D56" w:themeColor="text1"/>
      <w:sz w:val="20"/>
      <w:lang w:val="en-US"/>
    </w:rPr>
  </w:style>
  <w:style w:type="table" w:styleId="TableGrid">
    <w:name w:val="Table Grid"/>
    <w:locked/>
    <w:rsid w:val="002B512D"/>
    <w:pPr>
      <w:spacing w:after="0" w:line="240" w:lineRule="auto"/>
    </w:pPr>
    <w:rPr>
      <w:rFonts w:ascii="Franklin Gothic Book" w:eastAsia="Times New Roman" w:hAnsi="Franklin Gothic Book" w:cs="Times New Roman"/>
      <w:color w:val="FFFFFF"/>
      <w:sz w:val="20"/>
      <w:szCs w:val="20"/>
      <w:lang w:val="en-US" w:eastAsia="en-ZA"/>
    </w:rPr>
    <w:tblPr>
      <w:tblStyleRowBandSize w:val="1"/>
      <w:tblStyleCol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Pr>
    <w:trPr>
      <w:jc w:val="center"/>
    </w:trPr>
    <w:tcPr>
      <w:shd w:val="clear" w:color="auto" w:fill="auto"/>
      <w:vAlign w:val="center"/>
    </w:tcPr>
    <w:tblStylePr w:type="firstRow">
      <w:pPr>
        <w:wordWrap/>
        <w:spacing w:beforeLines="0" w:before="0" w:beforeAutospacing="0" w:afterLines="0" w:after="0" w:afterAutospacing="0" w:line="240" w:lineRule="auto"/>
        <w:ind w:leftChars="0" w:left="0" w:rightChars="0" w:right="0" w:firstLineChars="0" w:firstLine="0"/>
        <w:contextualSpacing/>
        <w:jc w:val="center"/>
        <w:outlineLvl w:val="9"/>
      </w:pPr>
      <w:tblPr/>
      <w:trPr>
        <w:tblHeader/>
      </w:trPr>
      <w:tcPr>
        <w:tcBorders>
          <w:bottom w:val="single" w:sz="6" w:space="0" w:color="000000"/>
        </w:tcBorders>
        <w:shd w:val="clear" w:color="auto" w:fill="053572" w:themeFill="text2"/>
      </w:tcPr>
    </w:tblStylePr>
    <w:tblStylePr w:type="lastRow">
      <w:pPr>
        <w:jc w:val="left"/>
      </w:pPr>
      <w:rPr>
        <w:rFonts w:asciiTheme="minorHAnsi" w:hAnsiTheme="minorHAnsi"/>
        <w:b/>
        <w:color w:val="auto"/>
        <w:sz w:val="20"/>
      </w:r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l2br w:val="none" w:sz="0" w:space="0" w:color="auto"/>
          <w:tr2bl w:val="none" w:sz="0" w:space="0" w:color="auto"/>
        </w:tcBorders>
        <w:shd w:val="clear" w:color="auto" w:fill="auto"/>
      </w:tcPr>
    </w:tblStylePr>
    <w:tblStylePr w:type="firstCol">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l2br w:val="none" w:sz="0" w:space="0" w:color="auto"/>
          <w:tr2bl w:val="none" w:sz="0" w:space="0" w:color="auto"/>
        </w:tcBorders>
        <w:shd w:val="clear" w:color="auto" w:fill="auto"/>
      </w:tcPr>
    </w:tblStylePr>
    <w:tblStylePr w:type="lastCol">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1Vert">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2Vert">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1Horz">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2Horz">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LeftText">
    <w:name w:val="Table Left Text"/>
    <w:uiPriority w:val="6"/>
    <w:qFormat/>
    <w:rsid w:val="005F02B5"/>
    <w:pPr>
      <w:spacing w:before="10" w:after="0" w:line="240" w:lineRule="auto"/>
    </w:pPr>
    <w:rPr>
      <w:rFonts w:ascii="Franklin Gothic Book" w:eastAsia="Times New Roman" w:hAnsi="Franklin Gothic Book" w:cs="Times New Roman"/>
      <w:color w:val="4A4D56" w:themeColor="text1"/>
      <w:sz w:val="20"/>
      <w:lang w:val="en-US"/>
    </w:rPr>
  </w:style>
  <w:style w:type="paragraph" w:customStyle="1" w:styleId="TableRightText">
    <w:name w:val="Table Right Text"/>
    <w:basedOn w:val="Normal"/>
    <w:uiPriority w:val="6"/>
    <w:rsid w:val="005F02B5"/>
    <w:pPr>
      <w:spacing w:before="10" w:after="0"/>
      <w:jc w:val="right"/>
    </w:pPr>
    <w:rPr>
      <w:sz w:val="20"/>
    </w:rPr>
  </w:style>
  <w:style w:type="paragraph" w:customStyle="1" w:styleId="TableHeadingCentered">
    <w:name w:val="Table Heading (Centered)"/>
    <w:uiPriority w:val="6"/>
    <w:qFormat/>
    <w:rsid w:val="006E68B0"/>
    <w:pPr>
      <w:spacing w:after="0" w:line="240" w:lineRule="auto"/>
      <w:jc w:val="center"/>
    </w:pPr>
    <w:rPr>
      <w:rFonts w:ascii="Franklin Gothic Medium" w:eastAsia="Times New Roman" w:hAnsi="Franklin Gothic Medium" w:cs="Times New Roman"/>
      <w:color w:val="FFFFFF" w:themeColor="background1"/>
      <w:sz w:val="20"/>
      <w:szCs w:val="20"/>
      <w:lang w:val="en-US"/>
    </w:rPr>
  </w:style>
  <w:style w:type="paragraph" w:customStyle="1" w:styleId="TableWhiteTextBook">
    <w:name w:val="Table White Text (Book)"/>
    <w:uiPriority w:val="6"/>
    <w:rsid w:val="000F7F43"/>
    <w:pPr>
      <w:spacing w:after="0" w:line="240" w:lineRule="auto"/>
    </w:pPr>
    <w:rPr>
      <w:rFonts w:ascii="Franklin Gothic Book" w:eastAsia="Times New Roman" w:hAnsi="Franklin Gothic Book" w:cs="Times New Roman"/>
      <w:color w:val="FFFFFF"/>
      <w:sz w:val="20"/>
      <w:szCs w:val="20"/>
      <w:lang w:val="en-US"/>
    </w:rPr>
  </w:style>
  <w:style w:type="paragraph" w:styleId="TableofFigures">
    <w:name w:val="table of figures"/>
    <w:basedOn w:val="Normal"/>
    <w:next w:val="Normal"/>
    <w:uiPriority w:val="99"/>
    <w:semiHidden/>
    <w:rsid w:val="00173A1F"/>
    <w:pPr>
      <w:tabs>
        <w:tab w:val="right" w:leader="dot" w:pos="10070"/>
      </w:tabs>
      <w:spacing w:before="120" w:after="120"/>
      <w:ind w:right="360"/>
    </w:pPr>
  </w:style>
  <w:style w:type="paragraph" w:customStyle="1" w:styleId="TableFootnote">
    <w:name w:val="Table_Footnote"/>
    <w:uiPriority w:val="6"/>
    <w:qFormat/>
    <w:rsid w:val="007C5AA1"/>
    <w:pPr>
      <w:spacing w:before="40" w:after="60" w:line="240" w:lineRule="auto"/>
      <w:jc w:val="both"/>
    </w:pPr>
    <w:rPr>
      <w:rFonts w:ascii="Franklin Gothic Book" w:eastAsia="Times New Roman" w:hAnsi="Franklin Gothic Book" w:cs="Times New Roman"/>
      <w:color w:val="4A4D56" w:themeColor="text1"/>
      <w:sz w:val="18"/>
      <w:szCs w:val="19"/>
      <w:lang w:val="en-US"/>
    </w:rPr>
  </w:style>
  <w:style w:type="character" w:styleId="UnresolvedMention">
    <w:name w:val="Unresolved Mention"/>
    <w:basedOn w:val="DefaultParagraphFont"/>
    <w:uiPriority w:val="99"/>
    <w:semiHidden/>
    <w:unhideWhenUsed/>
    <w:rsid w:val="00E71369"/>
    <w:rPr>
      <w:color w:val="605E5C"/>
      <w:shd w:val="clear" w:color="auto" w:fill="E1DFDD"/>
    </w:rPr>
  </w:style>
  <w:style w:type="table" w:customStyle="1" w:styleId="ODExcelPlaceholder">
    <w:name w:val="_OD Excel Placeholder"/>
    <w:basedOn w:val="TableNormal"/>
    <w:uiPriority w:val="99"/>
    <w:rsid w:val="00865C6A"/>
    <w:pPr>
      <w:spacing w:after="0"/>
    </w:pPr>
    <w:rPr>
      <w:sz w:val="18"/>
    </w:rPr>
    <w:tblPr>
      <w:tblCellMar>
        <w:left w:w="0" w:type="dxa"/>
        <w:right w:w="0" w:type="dxa"/>
      </w:tblCellMar>
    </w:tblPr>
    <w:tblStylePr w:type="firstRow">
      <w:pPr>
        <w:wordWrap/>
        <w:spacing w:beforeLines="0" w:before="0" w:beforeAutospacing="0" w:afterLines="0" w:after="0" w:afterAutospacing="0" w:line="240" w:lineRule="auto"/>
        <w:ind w:leftChars="0" w:left="0" w:rightChars="0" w:right="0"/>
        <w:jc w:val="center"/>
        <w:outlineLvl w:val="9"/>
      </w:pPr>
      <w:rPr>
        <w:rFonts w:asciiTheme="minorHAnsi" w:hAnsiTheme="minorHAnsi"/>
        <w:sz w:val="18"/>
      </w:rPr>
    </w:tblStylePr>
  </w:style>
  <w:style w:type="paragraph" w:customStyle="1" w:styleId="zSRnote">
    <w:name w:val="zSR note"/>
    <w:basedOn w:val="Normal"/>
    <w:uiPriority w:val="99"/>
    <w:semiHidden/>
    <w:locked/>
    <w:rsid w:val="000C2EF9"/>
    <w:pPr>
      <w:spacing w:after="0"/>
    </w:pPr>
    <w:rPr>
      <w:color w:val="C00000"/>
    </w:rPr>
  </w:style>
  <w:style w:type="table" w:customStyle="1" w:styleId="ODTable1">
    <w:name w:val="OD Table 1"/>
    <w:basedOn w:val="TableNormal"/>
    <w:uiPriority w:val="99"/>
    <w:rsid w:val="008F0909"/>
    <w:pPr>
      <w:spacing w:after="0" w:line="240" w:lineRule="auto"/>
    </w:pPr>
    <w:tblPr/>
  </w:style>
  <w:style w:type="numbering" w:customStyle="1" w:styleId="ODXAPPENDIX">
    <w:name w:val="ODX APPENDIX"/>
    <w:uiPriority w:val="99"/>
    <w:rsid w:val="008B2F0D"/>
    <w:pPr>
      <w:numPr>
        <w:numId w:val="15"/>
      </w:numPr>
    </w:pPr>
  </w:style>
  <w:style w:type="character" w:styleId="SmartLink">
    <w:name w:val="Smart Link"/>
    <w:basedOn w:val="DefaultParagraphFont"/>
    <w:uiPriority w:val="99"/>
    <w:semiHidden/>
    <w:unhideWhenUsed/>
    <w:rsid w:val="000C2EF9"/>
    <w:rPr>
      <w:rFonts w:asciiTheme="minorHAnsi" w:hAnsiTheme="minorHAnsi"/>
      <w:color w:val="1FA9E1" w:themeColor="accent3"/>
      <w:sz w:val="22"/>
      <w:u w:val="single"/>
      <w:shd w:val="clear" w:color="auto" w:fill="F3F2F1"/>
    </w:rPr>
  </w:style>
  <w:style w:type="paragraph" w:customStyle="1" w:styleId="TableHeadingLeft">
    <w:name w:val="Table Heading (Left)"/>
    <w:qFormat/>
    <w:rsid w:val="007C5AA1"/>
    <w:pPr>
      <w:spacing w:after="0" w:line="240" w:lineRule="auto"/>
    </w:pPr>
    <w:rPr>
      <w:rFonts w:ascii="Franklin Gothic Medium" w:eastAsia="Times New Roman" w:hAnsi="Franklin Gothic Medium" w:cs="Times New Roman"/>
      <w:color w:val="FFFFFF" w:themeColor="background1"/>
      <w:sz w:val="20"/>
      <w:szCs w:val="20"/>
      <w:lang w:val="en-US"/>
    </w:rPr>
  </w:style>
  <w:style w:type="paragraph" w:customStyle="1" w:styleId="AppendicesEntries">
    <w:name w:val="Appendices Entries"/>
    <w:semiHidden/>
    <w:rsid w:val="003C4811"/>
    <w:pPr>
      <w:tabs>
        <w:tab w:val="left" w:pos="1584"/>
        <w:tab w:val="right" w:leader="dot" w:pos="10746"/>
      </w:tabs>
      <w:spacing w:before="120" w:after="120"/>
      <w:ind w:left="360" w:right="-4" w:hanging="360"/>
    </w:pPr>
    <w:rPr>
      <w:rFonts w:ascii="Franklin Gothic Book" w:eastAsia="Times New Roman" w:hAnsi="Franklin Gothic Book" w:cs="Times New Roman"/>
      <w:noProof/>
      <w:color w:val="4A4D56" w:themeColor="text1"/>
      <w:szCs w:val="20"/>
      <w:lang w:val="en-US"/>
    </w:rPr>
  </w:style>
  <w:style w:type="paragraph" w:customStyle="1" w:styleId="TableTextLeftMedium">
    <w:name w:val="Table Text Left (Medium)"/>
    <w:qFormat/>
    <w:rsid w:val="000E0419"/>
    <w:pPr>
      <w:spacing w:after="0" w:line="240" w:lineRule="auto"/>
    </w:pPr>
    <w:rPr>
      <w:rFonts w:ascii="Franklin Gothic Medium" w:eastAsia="Times New Roman" w:hAnsi="Franklin Gothic Medium" w:cs="Times New Roman"/>
      <w:color w:val="4A4D56" w:themeColor="text1"/>
      <w:sz w:val="20"/>
      <w:lang w:val="en-US"/>
    </w:rPr>
  </w:style>
  <w:style w:type="paragraph" w:styleId="Header">
    <w:name w:val="header"/>
    <w:basedOn w:val="Normal"/>
    <w:link w:val="HeaderChar"/>
    <w:uiPriority w:val="99"/>
    <w:semiHidden/>
    <w:rsid w:val="00A02BB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529E5"/>
    <w:rPr>
      <w:rFonts w:ascii="Franklin Gothic Book" w:eastAsia="Times New Roman" w:hAnsi="Franklin Gothic Book" w:cs="Times New Roman"/>
      <w:color w:val="4A4D56" w:themeColor="text1"/>
      <w:lang w:val="en-US"/>
    </w:rPr>
  </w:style>
  <w:style w:type="paragraph" w:styleId="Footer">
    <w:name w:val="footer"/>
    <w:basedOn w:val="Normal"/>
    <w:link w:val="FooterChar"/>
    <w:uiPriority w:val="69"/>
    <w:rsid w:val="00A02BBA"/>
    <w:pPr>
      <w:tabs>
        <w:tab w:val="center" w:pos="4680"/>
        <w:tab w:val="right" w:pos="9360"/>
      </w:tabs>
      <w:spacing w:after="0" w:line="240" w:lineRule="auto"/>
    </w:pPr>
  </w:style>
  <w:style w:type="character" w:customStyle="1" w:styleId="FooterChar">
    <w:name w:val="Footer Char"/>
    <w:basedOn w:val="DefaultParagraphFont"/>
    <w:link w:val="Footer"/>
    <w:uiPriority w:val="69"/>
    <w:rsid w:val="005529E5"/>
    <w:rPr>
      <w:rFonts w:ascii="Franklin Gothic Book" w:eastAsia="Times New Roman" w:hAnsi="Franklin Gothic Book" w:cs="Times New Roman"/>
      <w:color w:val="4A4D56" w:themeColor="text1"/>
      <w:lang w:val="en-US"/>
    </w:rPr>
  </w:style>
  <w:style w:type="paragraph" w:customStyle="1" w:styleId="ResumeStyle2">
    <w:name w:val="Resume Style 2"/>
    <w:basedOn w:val="Header"/>
    <w:semiHidden/>
    <w:qFormat/>
    <w:rsid w:val="005529E5"/>
    <w:rPr>
      <w:color w:val="053572" w:themeColor="text2"/>
      <w:sz w:val="24"/>
    </w:rPr>
  </w:style>
  <w:style w:type="paragraph" w:styleId="Title">
    <w:name w:val="Title"/>
    <w:aliases w:val="Memo Title"/>
    <w:basedOn w:val="Normal"/>
    <w:next w:val="Normal"/>
    <w:link w:val="TitleChar"/>
    <w:uiPriority w:val="10"/>
    <w:qFormat/>
    <w:rsid w:val="00E02F5E"/>
    <w:pPr>
      <w:spacing w:before="160" w:after="160" w:line="240" w:lineRule="auto"/>
      <w:contextualSpacing/>
    </w:pPr>
    <w:rPr>
      <w:rFonts w:ascii="Rift Soft Medium" w:eastAsiaTheme="majorEastAsia" w:hAnsi="Rift Soft Medium" w:cstheme="majorBidi"/>
      <w:color w:val="053572" w:themeColor="text2"/>
      <w:spacing w:val="-10"/>
      <w:kern w:val="28"/>
      <w:sz w:val="60"/>
      <w:szCs w:val="56"/>
    </w:rPr>
  </w:style>
  <w:style w:type="character" w:customStyle="1" w:styleId="TitleChar">
    <w:name w:val="Title Char"/>
    <w:aliases w:val="Memo Title Char"/>
    <w:basedOn w:val="DefaultParagraphFont"/>
    <w:link w:val="Title"/>
    <w:uiPriority w:val="10"/>
    <w:rsid w:val="00E02F5E"/>
    <w:rPr>
      <w:rFonts w:ascii="Rift Soft Medium" w:eastAsiaTheme="majorEastAsia" w:hAnsi="Rift Soft Medium" w:cstheme="majorBidi"/>
      <w:color w:val="053572" w:themeColor="text2"/>
      <w:spacing w:val="-10"/>
      <w:kern w:val="28"/>
      <w:sz w:val="60"/>
      <w:szCs w:val="56"/>
      <w:lang w:val="en-US"/>
    </w:rPr>
  </w:style>
  <w:style w:type="paragraph" w:styleId="Caption">
    <w:name w:val="caption"/>
    <w:link w:val="CaptionChar"/>
    <w:autoRedefine/>
    <w:uiPriority w:val="35"/>
    <w:qFormat/>
    <w:rsid w:val="004F54DB"/>
    <w:pPr>
      <w:keepNext/>
      <w:spacing w:after="180"/>
      <w:jc w:val="center"/>
    </w:pPr>
    <w:rPr>
      <w:rFonts w:ascii="Franklin Gothic Book" w:eastAsia="Times New Roman" w:hAnsi="Franklin Gothic Book" w:cs="Times New Roman"/>
      <w:bCs/>
      <w:color w:val="4A4D56" w:themeColor="text1"/>
      <w:szCs w:val="20"/>
      <w:lang w:val="en-US"/>
    </w:rPr>
  </w:style>
  <w:style w:type="character" w:customStyle="1" w:styleId="CaptionChar">
    <w:name w:val="Caption Char"/>
    <w:basedOn w:val="DefaultParagraphFont"/>
    <w:link w:val="Caption"/>
    <w:uiPriority w:val="35"/>
    <w:rsid w:val="004F54DB"/>
    <w:rPr>
      <w:rFonts w:ascii="Franklin Gothic Book" w:eastAsia="Times New Roman" w:hAnsi="Franklin Gothic Book" w:cs="Times New Roman"/>
      <w:bCs/>
      <w:color w:val="4A4D56" w:themeColor="text1"/>
      <w:szCs w:val="20"/>
      <w:lang w:val="en-US"/>
    </w:rPr>
  </w:style>
  <w:style w:type="paragraph" w:customStyle="1" w:styleId="ODTable">
    <w:name w:val="OD Table"/>
    <w:link w:val="ODTableChar"/>
    <w:qFormat/>
    <w:rsid w:val="00ED46AA"/>
    <w:pPr>
      <w:spacing w:after="0" w:line="240" w:lineRule="auto"/>
    </w:pPr>
    <w:rPr>
      <w:rFonts w:ascii="Franklin Gothic Book" w:eastAsia="Times New Roman" w:hAnsi="Franklin Gothic Book" w:cs="Times New Roman"/>
      <w:color w:val="4A4D56" w:themeColor="text1"/>
      <w:sz w:val="20"/>
      <w:szCs w:val="20"/>
      <w:lang w:val="en-US"/>
    </w:rPr>
  </w:style>
  <w:style w:type="character" w:customStyle="1" w:styleId="ODTableChar">
    <w:name w:val="OD Table Char"/>
    <w:basedOn w:val="DefaultParagraphFont"/>
    <w:link w:val="ODTable"/>
    <w:rsid w:val="00ED46AA"/>
    <w:rPr>
      <w:rFonts w:ascii="Franklin Gothic Book" w:eastAsia="Times New Roman" w:hAnsi="Franklin Gothic Book" w:cs="Times New Roman"/>
      <w:color w:val="4A4D56" w:themeColor="text1"/>
      <w:sz w:val="20"/>
      <w:szCs w:val="20"/>
      <w:lang w:val="en-US"/>
    </w:rPr>
  </w:style>
  <w:style w:type="character" w:styleId="CommentReference">
    <w:name w:val="annotation reference"/>
    <w:basedOn w:val="DefaultParagraphFont"/>
    <w:uiPriority w:val="99"/>
    <w:semiHidden/>
    <w:unhideWhenUsed/>
    <w:rsid w:val="00926EB2"/>
    <w:rPr>
      <w:sz w:val="16"/>
      <w:szCs w:val="16"/>
    </w:rPr>
  </w:style>
  <w:style w:type="character" w:customStyle="1" w:styleId="CommentTextChar">
    <w:name w:val="Comment Text Char"/>
    <w:basedOn w:val="DefaultParagraphFont"/>
    <w:link w:val="CommentText"/>
    <w:uiPriority w:val="99"/>
    <w:semiHidden/>
    <w:rsid w:val="00D30AE8"/>
    <w:rPr>
      <w:rFonts w:ascii="Franklin Gothic Book" w:eastAsia="Times New Roman" w:hAnsi="Franklin Gothic Book" w:cs="Times New Roman"/>
      <w:color w:val="4A4D56" w:themeColor="text1"/>
      <w:sz w:val="20"/>
      <w:szCs w:val="20"/>
      <w:lang w:val="en-US"/>
    </w:rPr>
  </w:style>
  <w:style w:type="character" w:customStyle="1" w:styleId="FootnoteTextChar">
    <w:name w:val="Footnote Text Char"/>
    <w:basedOn w:val="DefaultParagraphFont"/>
    <w:link w:val="FootnoteText"/>
    <w:uiPriority w:val="69"/>
    <w:rsid w:val="00D30AE8"/>
    <w:rPr>
      <w:rFonts w:ascii="Franklin Gothic Book" w:eastAsia="Times New Roman" w:hAnsi="Franklin Gothic Book" w:cs="Times New Roman"/>
      <w:color w:val="4A4D56" w:themeColor="text1"/>
      <w:sz w:val="18"/>
      <w:szCs w:val="20"/>
      <w:lang w:val="en-US"/>
    </w:rPr>
  </w:style>
  <w:style w:type="paragraph" w:styleId="Revision">
    <w:name w:val="Revision"/>
    <w:hidden/>
    <w:uiPriority w:val="99"/>
    <w:semiHidden/>
    <w:rsid w:val="00756426"/>
    <w:pPr>
      <w:spacing w:after="0" w:line="240" w:lineRule="auto"/>
    </w:pPr>
    <w:rPr>
      <w:rFonts w:ascii="Franklin Gothic Book" w:eastAsia="Times New Roman" w:hAnsi="Franklin Gothic Book" w:cs="Times New Roman"/>
      <w:color w:val="4A4D56" w:themeColor="text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8177403">
      <w:bodyDiv w:val="1"/>
      <w:marLeft w:val="0"/>
      <w:marRight w:val="0"/>
      <w:marTop w:val="0"/>
      <w:marBottom w:val="0"/>
      <w:divBdr>
        <w:top w:val="none" w:sz="0" w:space="0" w:color="auto"/>
        <w:left w:val="none" w:sz="0" w:space="0" w:color="auto"/>
        <w:bottom w:val="none" w:sz="0" w:space="0" w:color="auto"/>
        <w:right w:val="none" w:sz="0" w:space="0" w:color="auto"/>
      </w:divBdr>
    </w:div>
    <w:div w:id="1378702741">
      <w:bodyDiv w:val="1"/>
      <w:marLeft w:val="0"/>
      <w:marRight w:val="0"/>
      <w:marTop w:val="0"/>
      <w:marBottom w:val="0"/>
      <w:divBdr>
        <w:top w:val="none" w:sz="0" w:space="0" w:color="auto"/>
        <w:left w:val="none" w:sz="0" w:space="0" w:color="auto"/>
        <w:bottom w:val="none" w:sz="0" w:space="0" w:color="auto"/>
        <w:right w:val="none" w:sz="0" w:space="0" w:color="auto"/>
      </w:divBdr>
    </w:div>
    <w:div w:id="1466654261">
      <w:bodyDiv w:val="1"/>
      <w:marLeft w:val="0"/>
      <w:marRight w:val="0"/>
      <w:marTop w:val="0"/>
      <w:marBottom w:val="0"/>
      <w:divBdr>
        <w:top w:val="none" w:sz="0" w:space="0" w:color="auto"/>
        <w:left w:val="none" w:sz="0" w:space="0" w:color="auto"/>
        <w:bottom w:val="none" w:sz="0" w:space="0" w:color="auto"/>
        <w:right w:val="none" w:sz="0" w:space="0" w:color="auto"/>
      </w:divBdr>
    </w:div>
    <w:div w:id="154155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outside.vermont.gov/agency/anr/climatecouncil/Shared%20Documents/1990-2021_GHG_Inventory_Uploads/_Methodology_Vermont_Greenhouse_Gas_Emissions_Inventory_1990-2021_Final.pdf" TargetMode="External"/><Relationship Id="rId3" Type="http://schemas.openxmlformats.org/officeDocument/2006/relationships/hyperlink" Target="https://outside.vermont.gov/agency/anr/climatecouncil/Shared%20Documents/1990-2021_GHG_Inventory_Uploads/_Methodology_Vermont_Greenhouse_Gas_Emissions_Inventory_1990-2021_Final.pdf" TargetMode="External"/><Relationship Id="rId7" Type="http://schemas.openxmlformats.org/officeDocument/2006/relationships/hyperlink" Target="https://www.epa.gov/climateleadership/ghg-emission-factors-hub" TargetMode="External"/><Relationship Id="rId2" Type="http://schemas.openxmlformats.org/officeDocument/2006/relationships/hyperlink" Target="https://www.epa.gov/climateleadership/ghg-emission-factors-hub" TargetMode="External"/><Relationship Id="rId1" Type="http://schemas.openxmlformats.org/officeDocument/2006/relationships/hyperlink" Target="https://greet.anl.gov/" TargetMode="External"/><Relationship Id="rId6" Type="http://schemas.openxmlformats.org/officeDocument/2006/relationships/hyperlink" Target="https://www.epa.gov/climateleadership/ghg-emission-factors-hub" TargetMode="External"/><Relationship Id="rId5" Type="http://schemas.openxmlformats.org/officeDocument/2006/relationships/hyperlink" Target="https://publicservice.vermont.gov/sites/dps/files/documents/VT%20RES%20Technical%20Analysis%20Final%20Report%2011.27.23.pdf" TargetMode="External"/><Relationship Id="rId4" Type="http://schemas.openxmlformats.org/officeDocument/2006/relationships/hyperlink" Target="https://publicservice.vermont.gov/sites/dps/files/documents/VT%20RES%20Technical%20Analysis%20Final%20Report%2011.27.23.pdf" TargetMode="External"/><Relationship Id="rId9" Type="http://schemas.openxmlformats.org/officeDocument/2006/relationships/hyperlink" Target="https://files.worldwildlife.org/wwfcmsprod/misc/climate_forest/Biogenic_Carbon_Footprint_Calculator_2020.xls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ross\AppData\Local\Temp\f7c003cb-22c3-4fdf-8448-564cde609c54\24.dotx"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D main theme">
      <a:dk1>
        <a:srgbClr val="4A4D56"/>
      </a:dk1>
      <a:lt1>
        <a:srgbClr val="FFFFFF"/>
      </a:lt1>
      <a:dk2>
        <a:srgbClr val="053572"/>
      </a:dk2>
      <a:lt2>
        <a:srgbClr val="FFFFFF"/>
      </a:lt2>
      <a:accent1>
        <a:srgbClr val="172B54"/>
      </a:accent1>
      <a:accent2>
        <a:srgbClr val="265EAC"/>
      </a:accent2>
      <a:accent3>
        <a:srgbClr val="1FA9E1"/>
      </a:accent3>
      <a:accent4>
        <a:srgbClr val="7E83C0"/>
      </a:accent4>
      <a:accent5>
        <a:srgbClr val="5661AC"/>
      </a:accent5>
      <a:accent6>
        <a:srgbClr val="FFDFB8"/>
      </a:accent6>
      <a:hlink>
        <a:srgbClr val="4087C7"/>
      </a:hlink>
      <a:folHlink>
        <a:srgbClr val="A1CBED"/>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blipFill>
          <a:blip xmlns:r="http://schemas.openxmlformats.org/officeDocument/2006/relationships" r:embed="rId1">
            <a:extLst>
              <a:ext uri="{96DAC541-7B7A-43D3-8B79-37D633B846F1}">
                <asvg:svgBlip xmlns:asvg="http://schemas.microsoft.com/office/drawing/2016/SVG/main" r:embed="rId2"/>
              </a:ext>
            </a:extLst>
          </a:blip>
          <a:stretch>
            <a:fillRect/>
          </a:stretch>
        </a:blipFill>
        <a:ln w="9525">
          <a:noFill/>
          <a:miter lim="800000"/>
          <a:headEnd/>
          <a:tailEnd/>
        </a:ln>
      </a:spPr>
      <a:bodyPr rot="0" vert="horz" wrap="square" lIns="468000" tIns="360000" rIns="468000" bIns="360000" anchor="ctr"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Section</b:Tag>
    <b:RefOrder>1</b:RefOrder>
  </b:Source>
</b:Sources>
</file>

<file path=customXml/itemProps1.xml><?xml version="1.0" encoding="utf-8"?>
<ds:datastoreItem xmlns:ds="http://schemas.openxmlformats.org/officeDocument/2006/customXml" ds:itemID="{5AE5D383-8288-463E-A8CC-DB995C254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Template>
  <TotalTime>98</TotalTime>
  <Pages>8</Pages>
  <Words>3600</Words>
  <Characters>19463</Characters>
  <Application>Microsoft Office Word</Application>
  <DocSecurity>0</DocSecurity>
  <Lines>162</Lines>
  <Paragraphs>46</Paragraphs>
  <ScaleCrop>false</ScaleCrop>
  <HeadingPairs>
    <vt:vector size="2" baseType="variant">
      <vt:variant>
        <vt:lpstr>Title</vt:lpstr>
      </vt:variant>
      <vt:variant>
        <vt:i4>1</vt:i4>
      </vt:variant>
    </vt:vector>
  </HeadingPairs>
  <TitlesOfParts>
    <vt:vector size="1" baseType="lpstr">
      <vt:lpstr>Report</vt:lpstr>
    </vt:vector>
  </TitlesOfParts>
  <Company/>
  <LinksUpToDate>false</LinksUpToDate>
  <CharactersWithSpaces>23017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Zachary Ross</dc:creator>
  <cp:lastModifiedBy>Zachary Ross</cp:lastModifiedBy>
  <cp:revision>4</cp:revision>
  <dcterms:created xsi:type="dcterms:W3CDTF">2024-08-29T18:14:00Z</dcterms:created>
  <dcterms:modified xsi:type="dcterms:W3CDTF">2024-08-29T19:43:00Z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73564f48-a1c1-4ad1-8cac-555e9f90f817</vt:lpwstr>
  </property>
</Properties>
</file>