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5D2AC" w14:textId="3FCDBF77" w:rsidR="00F06471" w:rsidRDefault="00965091" w:rsidP="00F51068">
      <w:pPr>
        <w:jc w:val="center"/>
        <w:rPr>
          <w:b/>
          <w:bCs/>
          <w:sz w:val="23"/>
          <w:szCs w:val="23"/>
        </w:rPr>
      </w:pPr>
      <w:r>
        <w:rPr>
          <w:b/>
          <w:bCs/>
          <w:sz w:val="23"/>
          <w:szCs w:val="23"/>
        </w:rPr>
        <w:t>Upstream Avoided</w:t>
      </w:r>
      <w:r w:rsidRPr="00CE2F57">
        <w:rPr>
          <w:b/>
          <w:bCs/>
          <w:sz w:val="23"/>
          <w:szCs w:val="23"/>
        </w:rPr>
        <w:t xml:space="preserve"> </w:t>
      </w:r>
      <w:r w:rsidR="00F51068">
        <w:rPr>
          <w:b/>
          <w:bCs/>
          <w:sz w:val="23"/>
          <w:szCs w:val="23"/>
        </w:rPr>
        <w:t xml:space="preserve">Emissions Impacts </w:t>
      </w:r>
      <w:r w:rsidR="00F06471" w:rsidRPr="00CE2F57">
        <w:rPr>
          <w:b/>
          <w:bCs/>
          <w:sz w:val="23"/>
          <w:szCs w:val="23"/>
        </w:rPr>
        <w:t>for Biofuels</w:t>
      </w:r>
    </w:p>
    <w:p w14:paraId="54C80F37" w14:textId="533703C2" w:rsidR="00F51068" w:rsidRPr="00CE2F57" w:rsidRDefault="00965091" w:rsidP="00CE2F57">
      <w:pPr>
        <w:jc w:val="center"/>
        <w:rPr>
          <w:b/>
          <w:bCs/>
          <w:sz w:val="23"/>
          <w:szCs w:val="23"/>
        </w:rPr>
      </w:pPr>
      <w:r>
        <w:rPr>
          <w:b/>
          <w:bCs/>
          <w:sz w:val="23"/>
          <w:szCs w:val="23"/>
        </w:rPr>
        <w:t>3</w:t>
      </w:r>
      <w:r w:rsidR="00F51068">
        <w:rPr>
          <w:b/>
          <w:bCs/>
          <w:sz w:val="23"/>
          <w:szCs w:val="23"/>
        </w:rPr>
        <w:t>1 October 2024</w:t>
      </w:r>
    </w:p>
    <w:p w14:paraId="2A8A724E" w14:textId="2CD0433B" w:rsidR="00F51068" w:rsidRPr="00597A9C" w:rsidRDefault="00F51068">
      <w:pPr>
        <w:rPr>
          <w:b/>
          <w:bCs/>
          <w:sz w:val="23"/>
          <w:szCs w:val="23"/>
        </w:rPr>
      </w:pPr>
      <w:r w:rsidRPr="00597A9C">
        <w:rPr>
          <w:b/>
          <w:bCs/>
          <w:sz w:val="23"/>
          <w:szCs w:val="23"/>
        </w:rPr>
        <w:t>Question for TAG Consideration:</w:t>
      </w:r>
    </w:p>
    <w:p w14:paraId="4FD781B5" w14:textId="009806EB" w:rsidR="00F51068" w:rsidRDefault="00815A76">
      <w:pPr>
        <w:rPr>
          <w:sz w:val="23"/>
          <w:szCs w:val="23"/>
        </w:rPr>
      </w:pPr>
      <w:r>
        <w:rPr>
          <w:sz w:val="23"/>
          <w:szCs w:val="23"/>
        </w:rPr>
        <w:t xml:space="preserve">Should </w:t>
      </w:r>
      <w:r w:rsidR="00965091">
        <w:rPr>
          <w:sz w:val="23"/>
          <w:szCs w:val="23"/>
        </w:rPr>
        <w:t xml:space="preserve">upstream avoided </w:t>
      </w:r>
      <w:r>
        <w:rPr>
          <w:sz w:val="23"/>
          <w:szCs w:val="23"/>
        </w:rPr>
        <w:t>emissions impacts that occur during feedstock preparation or fuel production steps be recognized in the Clean Heat program’s lifecycle analyses of eligible biofuels?</w:t>
      </w:r>
    </w:p>
    <w:p w14:paraId="0DE6E0C7" w14:textId="77777777" w:rsidR="00F51068" w:rsidRDefault="00F51068">
      <w:pPr>
        <w:rPr>
          <w:sz w:val="23"/>
          <w:szCs w:val="23"/>
        </w:rPr>
      </w:pPr>
    </w:p>
    <w:p w14:paraId="592B5F57" w14:textId="1F6201AC" w:rsidR="00F06471" w:rsidRPr="00CE2F57" w:rsidRDefault="00CA7412">
      <w:pPr>
        <w:rPr>
          <w:b/>
          <w:bCs/>
          <w:sz w:val="23"/>
          <w:szCs w:val="23"/>
        </w:rPr>
      </w:pPr>
      <w:r w:rsidRPr="00CE2F57">
        <w:rPr>
          <w:b/>
          <w:bCs/>
          <w:sz w:val="23"/>
          <w:szCs w:val="23"/>
        </w:rPr>
        <w:t>Background</w:t>
      </w:r>
      <w:r w:rsidR="00F06471" w:rsidRPr="00CE2F57">
        <w:rPr>
          <w:b/>
          <w:bCs/>
          <w:sz w:val="23"/>
          <w:szCs w:val="23"/>
        </w:rPr>
        <w:t>:</w:t>
      </w:r>
    </w:p>
    <w:p w14:paraId="4330BB36" w14:textId="634E05E3" w:rsidR="00F06471" w:rsidRPr="0063458D" w:rsidRDefault="00793BC1">
      <w:pPr>
        <w:rPr>
          <w:sz w:val="23"/>
          <w:szCs w:val="23"/>
        </w:rPr>
      </w:pPr>
      <w:r w:rsidRPr="0063458D">
        <w:rPr>
          <w:sz w:val="23"/>
          <w:szCs w:val="23"/>
        </w:rPr>
        <w:t xml:space="preserve">The Vermont Clean Heat Standard (CHS) </w:t>
      </w:r>
      <w:r w:rsidR="00877DB3" w:rsidRPr="0063458D">
        <w:rPr>
          <w:sz w:val="23"/>
          <w:szCs w:val="23"/>
        </w:rPr>
        <w:t xml:space="preserve">is required to </w:t>
      </w:r>
      <w:r w:rsidR="00CF2F8E" w:rsidRPr="0063458D">
        <w:rPr>
          <w:sz w:val="23"/>
          <w:szCs w:val="23"/>
        </w:rPr>
        <w:t xml:space="preserve">include a framework for assessing the lifecycle greenhouse gas (GHG) impacts of </w:t>
      </w:r>
      <w:r w:rsidR="000A2BC4" w:rsidRPr="0063458D">
        <w:rPr>
          <w:sz w:val="23"/>
          <w:szCs w:val="23"/>
        </w:rPr>
        <w:t xml:space="preserve">the </w:t>
      </w:r>
      <w:r w:rsidR="00CF2F8E" w:rsidRPr="0063458D">
        <w:rPr>
          <w:sz w:val="23"/>
          <w:szCs w:val="23"/>
        </w:rPr>
        <w:t>various resources which generate clean heat credits</w:t>
      </w:r>
      <w:r w:rsidR="000A2BC4" w:rsidRPr="0063458D">
        <w:rPr>
          <w:sz w:val="23"/>
          <w:szCs w:val="23"/>
        </w:rPr>
        <w:t xml:space="preserve"> for program compliance. For </w:t>
      </w:r>
      <w:r w:rsidR="00101E54" w:rsidRPr="0063458D">
        <w:rPr>
          <w:sz w:val="23"/>
          <w:szCs w:val="23"/>
        </w:rPr>
        <w:t xml:space="preserve">biofuels, it is standard for such lifecycle assessments to include </w:t>
      </w:r>
      <w:r w:rsidR="00775DEA" w:rsidRPr="0063458D">
        <w:rPr>
          <w:sz w:val="23"/>
          <w:szCs w:val="23"/>
        </w:rPr>
        <w:t xml:space="preserve">the upstream GHG impacts </w:t>
      </w:r>
      <w:r w:rsidR="00F56537">
        <w:rPr>
          <w:sz w:val="23"/>
          <w:szCs w:val="23"/>
        </w:rPr>
        <w:t>that</w:t>
      </w:r>
      <w:r w:rsidR="00F56537" w:rsidRPr="0063458D">
        <w:rPr>
          <w:sz w:val="23"/>
          <w:szCs w:val="23"/>
        </w:rPr>
        <w:t xml:space="preserve"> </w:t>
      </w:r>
      <w:r w:rsidR="00775DEA" w:rsidRPr="0063458D">
        <w:rPr>
          <w:sz w:val="23"/>
          <w:szCs w:val="23"/>
        </w:rPr>
        <w:t>occur during all aspects of energy production</w:t>
      </w:r>
      <w:r w:rsidR="0041172D" w:rsidRPr="0063458D">
        <w:rPr>
          <w:sz w:val="23"/>
          <w:szCs w:val="23"/>
        </w:rPr>
        <w:t>. This includes feedstock preparation, fuel production, and transport.</w:t>
      </w:r>
    </w:p>
    <w:p w14:paraId="699127EF" w14:textId="3044C8C1" w:rsidR="0086275A" w:rsidRPr="0063458D" w:rsidRDefault="0086275A">
      <w:pPr>
        <w:rPr>
          <w:sz w:val="23"/>
          <w:szCs w:val="23"/>
        </w:rPr>
      </w:pPr>
      <w:r w:rsidRPr="0063458D">
        <w:rPr>
          <w:sz w:val="23"/>
          <w:szCs w:val="23"/>
        </w:rPr>
        <w:t xml:space="preserve">During the CHS development process there has been extensive consideration regarding the inclusion of </w:t>
      </w:r>
      <w:r w:rsidR="00F56537">
        <w:rPr>
          <w:sz w:val="23"/>
          <w:szCs w:val="23"/>
        </w:rPr>
        <w:t xml:space="preserve">the upstream emissions impacts—often referred to as </w:t>
      </w:r>
      <w:r w:rsidR="00F51068">
        <w:rPr>
          <w:sz w:val="23"/>
          <w:szCs w:val="23"/>
        </w:rPr>
        <w:t>“</w:t>
      </w:r>
      <w:r w:rsidRPr="0063458D">
        <w:rPr>
          <w:sz w:val="23"/>
          <w:szCs w:val="23"/>
        </w:rPr>
        <w:t>counterfactual</w:t>
      </w:r>
      <w:r w:rsidR="00F51068">
        <w:rPr>
          <w:sz w:val="23"/>
          <w:szCs w:val="23"/>
        </w:rPr>
        <w:t>”</w:t>
      </w:r>
      <w:r w:rsidRPr="0063458D">
        <w:rPr>
          <w:sz w:val="23"/>
          <w:szCs w:val="23"/>
        </w:rPr>
        <w:t xml:space="preserve"> emissions impacts</w:t>
      </w:r>
      <w:r w:rsidR="00F56537">
        <w:rPr>
          <w:sz w:val="23"/>
          <w:szCs w:val="23"/>
        </w:rPr>
        <w:t>—</w:t>
      </w:r>
      <w:r w:rsidRPr="0063458D">
        <w:rPr>
          <w:sz w:val="23"/>
          <w:szCs w:val="23"/>
        </w:rPr>
        <w:t xml:space="preserve">as part of the program’s lifecycle assessment framework. </w:t>
      </w:r>
      <w:r w:rsidR="00F56537">
        <w:rPr>
          <w:sz w:val="23"/>
          <w:szCs w:val="23"/>
        </w:rPr>
        <w:t>These</w:t>
      </w:r>
      <w:r w:rsidR="009D6C82" w:rsidRPr="0063458D">
        <w:rPr>
          <w:sz w:val="23"/>
          <w:szCs w:val="23"/>
        </w:rPr>
        <w:t xml:space="preserve"> impacts typically occur during the feedstock preparation or fuel production steps and are limited to certain feedstocks</w:t>
      </w:r>
      <w:r w:rsidR="00C1480B" w:rsidRPr="0063458D">
        <w:rPr>
          <w:sz w:val="23"/>
          <w:szCs w:val="23"/>
        </w:rPr>
        <w:t xml:space="preserve"> and technological pathways. The most common example </w:t>
      </w:r>
      <w:r w:rsidR="00F51068">
        <w:rPr>
          <w:sz w:val="23"/>
          <w:szCs w:val="23"/>
        </w:rPr>
        <w:t>is</w:t>
      </w:r>
      <w:r w:rsidR="00F51068" w:rsidRPr="0063458D">
        <w:rPr>
          <w:sz w:val="23"/>
          <w:szCs w:val="23"/>
        </w:rPr>
        <w:t xml:space="preserve"> </w:t>
      </w:r>
      <w:r w:rsidR="00C1480B" w:rsidRPr="0063458D">
        <w:rPr>
          <w:sz w:val="23"/>
          <w:szCs w:val="23"/>
        </w:rPr>
        <w:t>avoided methane emissions in the organic waste and livestock sectors</w:t>
      </w:r>
      <w:r w:rsidR="00F51068">
        <w:rPr>
          <w:sz w:val="23"/>
          <w:szCs w:val="23"/>
        </w:rPr>
        <w:t xml:space="preserve"> that result from the capture and use of those emissions for productive purposes.</w:t>
      </w:r>
    </w:p>
    <w:p w14:paraId="588C975C" w14:textId="7518F6AA" w:rsidR="0072603D" w:rsidRPr="0063458D" w:rsidRDefault="00AB56FF">
      <w:pPr>
        <w:rPr>
          <w:sz w:val="23"/>
          <w:szCs w:val="23"/>
        </w:rPr>
      </w:pPr>
      <w:r w:rsidRPr="0063458D">
        <w:rPr>
          <w:sz w:val="23"/>
          <w:szCs w:val="23"/>
        </w:rPr>
        <w:t>This document</w:t>
      </w:r>
      <w:r w:rsidR="008C3CE8" w:rsidRPr="0063458D">
        <w:rPr>
          <w:sz w:val="23"/>
          <w:szCs w:val="23"/>
        </w:rPr>
        <w:t xml:space="preserve"> </w:t>
      </w:r>
      <w:r w:rsidR="00F56537">
        <w:rPr>
          <w:sz w:val="23"/>
          <w:szCs w:val="23"/>
        </w:rPr>
        <w:t>summarizes</w:t>
      </w:r>
      <w:r w:rsidR="008C3CE8" w:rsidRPr="0063458D">
        <w:rPr>
          <w:sz w:val="23"/>
          <w:szCs w:val="23"/>
        </w:rPr>
        <w:t xml:space="preserve"> the </w:t>
      </w:r>
      <w:r w:rsidR="00F56537">
        <w:rPr>
          <w:sz w:val="23"/>
          <w:szCs w:val="23"/>
        </w:rPr>
        <w:t>main arguments in favor</w:t>
      </w:r>
      <w:r w:rsidR="008C3CE8" w:rsidRPr="0063458D">
        <w:rPr>
          <w:sz w:val="23"/>
          <w:szCs w:val="23"/>
        </w:rPr>
        <w:t xml:space="preserve"> of </w:t>
      </w:r>
      <w:r w:rsidR="00F56537">
        <w:rPr>
          <w:sz w:val="23"/>
          <w:szCs w:val="23"/>
        </w:rPr>
        <w:t xml:space="preserve">and opposed to </w:t>
      </w:r>
      <w:r w:rsidR="00815A76">
        <w:rPr>
          <w:sz w:val="23"/>
          <w:szCs w:val="23"/>
        </w:rPr>
        <w:t>recogniz</w:t>
      </w:r>
      <w:r w:rsidR="00815A76" w:rsidRPr="0063458D">
        <w:rPr>
          <w:sz w:val="23"/>
          <w:szCs w:val="23"/>
        </w:rPr>
        <w:t xml:space="preserve">ing </w:t>
      </w:r>
      <w:r w:rsidR="00F56537">
        <w:rPr>
          <w:sz w:val="23"/>
          <w:szCs w:val="23"/>
        </w:rPr>
        <w:t>these upstream</w:t>
      </w:r>
      <w:r w:rsidR="00F56537" w:rsidRPr="0063458D">
        <w:rPr>
          <w:sz w:val="23"/>
          <w:szCs w:val="23"/>
        </w:rPr>
        <w:t xml:space="preserve"> </w:t>
      </w:r>
      <w:r w:rsidR="00CA7412" w:rsidRPr="0063458D">
        <w:rPr>
          <w:sz w:val="23"/>
          <w:szCs w:val="23"/>
        </w:rPr>
        <w:t xml:space="preserve">emissions impacts </w:t>
      </w:r>
      <w:r w:rsidR="00F56537">
        <w:rPr>
          <w:sz w:val="23"/>
          <w:szCs w:val="23"/>
        </w:rPr>
        <w:t>associated with</w:t>
      </w:r>
      <w:r w:rsidR="00F56537" w:rsidRPr="0063458D">
        <w:rPr>
          <w:sz w:val="23"/>
          <w:szCs w:val="23"/>
        </w:rPr>
        <w:t xml:space="preserve"> </w:t>
      </w:r>
      <w:r w:rsidR="00CA7412" w:rsidRPr="0063458D">
        <w:rPr>
          <w:sz w:val="23"/>
          <w:szCs w:val="23"/>
        </w:rPr>
        <w:t>biofuels within the CHS’</w:t>
      </w:r>
      <w:r w:rsidR="00815A76">
        <w:rPr>
          <w:sz w:val="23"/>
          <w:szCs w:val="23"/>
        </w:rPr>
        <w:t>s</w:t>
      </w:r>
      <w:r w:rsidR="00CA7412" w:rsidRPr="0063458D">
        <w:rPr>
          <w:sz w:val="23"/>
          <w:szCs w:val="23"/>
        </w:rPr>
        <w:t xml:space="preserve"> lifecycle assessment framework.</w:t>
      </w:r>
      <w:r w:rsidR="00F56537">
        <w:rPr>
          <w:sz w:val="23"/>
          <w:szCs w:val="23"/>
        </w:rPr>
        <w:t xml:space="preserve"> </w:t>
      </w:r>
      <w:r w:rsidR="00A4669E">
        <w:rPr>
          <w:sz w:val="23"/>
          <w:szCs w:val="23"/>
        </w:rPr>
        <w:t xml:space="preserve">This document does not resolve any differences between the positions </w:t>
      </w:r>
      <w:r w:rsidR="00F56537">
        <w:rPr>
          <w:sz w:val="23"/>
          <w:szCs w:val="23"/>
        </w:rPr>
        <w:t xml:space="preserve">on matters of </w:t>
      </w:r>
      <w:r w:rsidR="00A4669E">
        <w:rPr>
          <w:sz w:val="23"/>
          <w:szCs w:val="23"/>
        </w:rPr>
        <w:t xml:space="preserve">statutory interpretation, </w:t>
      </w:r>
      <w:r w:rsidR="00F56537">
        <w:rPr>
          <w:sz w:val="23"/>
          <w:szCs w:val="23"/>
        </w:rPr>
        <w:t>policy, analytical methods, and underlying facts.</w:t>
      </w:r>
    </w:p>
    <w:p w14:paraId="324C252C" w14:textId="77777777" w:rsidR="00815A76" w:rsidRDefault="00815A76">
      <w:pPr>
        <w:rPr>
          <w:sz w:val="23"/>
          <w:szCs w:val="23"/>
        </w:rPr>
      </w:pPr>
    </w:p>
    <w:p w14:paraId="56FD0D6B" w14:textId="2A443645" w:rsidR="00CA7412" w:rsidRPr="00CE2F57" w:rsidRDefault="00815A76">
      <w:pPr>
        <w:rPr>
          <w:b/>
          <w:bCs/>
          <w:sz w:val="23"/>
          <w:szCs w:val="23"/>
        </w:rPr>
      </w:pPr>
      <w:r>
        <w:rPr>
          <w:b/>
          <w:bCs/>
          <w:sz w:val="23"/>
          <w:szCs w:val="23"/>
        </w:rPr>
        <w:t xml:space="preserve">Relevant </w:t>
      </w:r>
      <w:r w:rsidR="00266D69" w:rsidRPr="00CE2F57">
        <w:rPr>
          <w:b/>
          <w:bCs/>
          <w:sz w:val="23"/>
          <w:szCs w:val="23"/>
        </w:rPr>
        <w:t>Statutory Language:</w:t>
      </w:r>
    </w:p>
    <w:p w14:paraId="68A6DE08" w14:textId="1AAB0804" w:rsidR="00F97E09" w:rsidRDefault="009C2C43" w:rsidP="00CE2F57">
      <w:pPr>
        <w:spacing w:after="0"/>
        <w:rPr>
          <w:sz w:val="23"/>
          <w:szCs w:val="23"/>
        </w:rPr>
      </w:pPr>
      <w:r w:rsidRPr="00CE2F57">
        <w:rPr>
          <w:sz w:val="23"/>
          <w:szCs w:val="23"/>
        </w:rPr>
        <w:t xml:space="preserve">30 V.S.A. § 8127 (g) </w:t>
      </w:r>
      <w:r w:rsidR="007D1241" w:rsidRPr="00CE2F57">
        <w:rPr>
          <w:sz w:val="23"/>
          <w:szCs w:val="23"/>
        </w:rPr>
        <w:t>Emissions Schedule.</w:t>
      </w:r>
    </w:p>
    <w:p w14:paraId="02A88707" w14:textId="2E5F360E" w:rsidR="009C2C43" w:rsidRPr="00CE2F57" w:rsidRDefault="00AD2BBD" w:rsidP="00CE2F57">
      <w:pPr>
        <w:ind w:left="450"/>
        <w:rPr>
          <w:sz w:val="23"/>
          <w:szCs w:val="23"/>
        </w:rPr>
      </w:pPr>
      <w:r>
        <w:rPr>
          <w:sz w:val="23"/>
          <w:szCs w:val="23"/>
        </w:rPr>
        <w:t xml:space="preserve">(2) </w:t>
      </w:r>
      <w:r w:rsidR="009C2C43" w:rsidRPr="00CE2F57">
        <w:rPr>
          <w:sz w:val="23"/>
          <w:szCs w:val="23"/>
        </w:rPr>
        <w:t xml:space="preserve">For each fuel pathway, the schedule shall account for greenhouse gas emissions from biogenic and geologic sources, including fugitive emissions and loss of stored carbon. In determining the baseline emission rates for clean heat measures that are fuels, emissions baselines shall fully account for methane emissions reductions or captures already occurring, or expected to occur, for each fuel pathway </w:t>
      </w:r>
      <w:proofErr w:type="gramStart"/>
      <w:r w:rsidR="009C2C43" w:rsidRPr="00CE2F57">
        <w:rPr>
          <w:sz w:val="23"/>
          <w:szCs w:val="23"/>
        </w:rPr>
        <w:t>as a result of</w:t>
      </w:r>
      <w:proofErr w:type="gramEnd"/>
      <w:r w:rsidR="009C2C43" w:rsidRPr="00CE2F57">
        <w:rPr>
          <w:sz w:val="23"/>
          <w:szCs w:val="23"/>
        </w:rPr>
        <w:t xml:space="preserve"> local, State, or federal legal requirements that have been enacted or adopted that reduce greenhouse gas emissions</w:t>
      </w:r>
      <w:r w:rsidR="007D1241" w:rsidRPr="00CE2F57">
        <w:rPr>
          <w:sz w:val="23"/>
          <w:szCs w:val="23"/>
        </w:rPr>
        <w:t>.”</w:t>
      </w:r>
    </w:p>
    <w:p w14:paraId="08A2BBFE" w14:textId="225B061A" w:rsidR="00266D69" w:rsidRPr="00CE2F57" w:rsidRDefault="00985A8B" w:rsidP="00CE2F57">
      <w:pPr>
        <w:rPr>
          <w:sz w:val="23"/>
          <w:szCs w:val="23"/>
        </w:rPr>
      </w:pPr>
      <w:r w:rsidRPr="00CE2F57">
        <w:rPr>
          <w:sz w:val="23"/>
          <w:szCs w:val="23"/>
        </w:rPr>
        <w:lastRenderedPageBreak/>
        <w:t>30 V.S.A. § 812</w:t>
      </w:r>
      <w:r w:rsidR="0082287F" w:rsidRPr="00CE2F57">
        <w:rPr>
          <w:sz w:val="23"/>
          <w:szCs w:val="23"/>
        </w:rPr>
        <w:t xml:space="preserve">7 </w:t>
      </w:r>
      <w:r w:rsidR="00266D69" w:rsidRPr="00CE2F57">
        <w:rPr>
          <w:sz w:val="23"/>
          <w:szCs w:val="23"/>
        </w:rPr>
        <w:t>(j) Delivery in Vermont.</w:t>
      </w:r>
      <w:r w:rsidR="00AD2BBD">
        <w:rPr>
          <w:sz w:val="23"/>
          <w:szCs w:val="23"/>
        </w:rPr>
        <w:t xml:space="preserve"> </w:t>
      </w:r>
      <w:r w:rsidR="00266D69" w:rsidRPr="00CE2F57">
        <w:rPr>
          <w:sz w:val="23"/>
          <w:szCs w:val="23"/>
        </w:rPr>
        <w:t>Clean heat credits shall be earned only in proportion to the deemed or measured thermal sector greenhouse gas emission reductions achieved by a clean heat measure delivered in Vermont. Other emissions offsets, wherever located, shall not be eligible measures.</w:t>
      </w:r>
      <w:r w:rsidR="002E4D73" w:rsidRPr="00CE2F57">
        <w:rPr>
          <w:sz w:val="23"/>
          <w:szCs w:val="23"/>
        </w:rPr>
        <w:t>”</w:t>
      </w:r>
    </w:p>
    <w:p w14:paraId="6E2EB231" w14:textId="77777777" w:rsidR="00AD2BBD" w:rsidRDefault="00AD2BBD">
      <w:pPr>
        <w:rPr>
          <w:sz w:val="23"/>
          <w:szCs w:val="23"/>
        </w:rPr>
      </w:pPr>
    </w:p>
    <w:p w14:paraId="5D270CC6" w14:textId="4CE4521B" w:rsidR="00AD2BBD" w:rsidRPr="00CE2F57" w:rsidRDefault="00AD2BBD">
      <w:pPr>
        <w:rPr>
          <w:b/>
          <w:bCs/>
          <w:sz w:val="23"/>
          <w:szCs w:val="23"/>
        </w:rPr>
      </w:pPr>
      <w:r w:rsidRPr="00CE2F57">
        <w:rPr>
          <w:b/>
          <w:bCs/>
          <w:sz w:val="23"/>
          <w:szCs w:val="23"/>
        </w:rPr>
        <w:t>Discussion</w:t>
      </w:r>
    </w:p>
    <w:p w14:paraId="1905789C" w14:textId="1308D031" w:rsidR="00CA7412" w:rsidRPr="0063458D" w:rsidRDefault="002E4D73">
      <w:pPr>
        <w:rPr>
          <w:sz w:val="23"/>
          <w:szCs w:val="23"/>
        </w:rPr>
      </w:pPr>
      <w:r w:rsidRPr="0063458D">
        <w:rPr>
          <w:sz w:val="23"/>
          <w:szCs w:val="23"/>
        </w:rPr>
        <w:t xml:space="preserve">Arguments </w:t>
      </w:r>
      <w:r w:rsidR="00080579">
        <w:rPr>
          <w:sz w:val="23"/>
          <w:szCs w:val="23"/>
        </w:rPr>
        <w:t xml:space="preserve">favoring recognition of </w:t>
      </w:r>
      <w:r w:rsidR="00F56537">
        <w:rPr>
          <w:sz w:val="23"/>
          <w:szCs w:val="23"/>
        </w:rPr>
        <w:t>upstream</w:t>
      </w:r>
      <w:r w:rsidR="00F56537" w:rsidRPr="0063458D">
        <w:rPr>
          <w:sz w:val="23"/>
          <w:szCs w:val="23"/>
        </w:rPr>
        <w:t xml:space="preserve"> </w:t>
      </w:r>
      <w:r w:rsidR="00080579">
        <w:rPr>
          <w:sz w:val="23"/>
          <w:szCs w:val="23"/>
        </w:rPr>
        <w:t>e</w:t>
      </w:r>
      <w:r w:rsidR="00E54F71" w:rsidRPr="0063458D">
        <w:rPr>
          <w:sz w:val="23"/>
          <w:szCs w:val="23"/>
        </w:rPr>
        <w:t xml:space="preserve">missions </w:t>
      </w:r>
      <w:r w:rsidR="00F56537">
        <w:rPr>
          <w:sz w:val="23"/>
          <w:szCs w:val="23"/>
        </w:rPr>
        <w:t xml:space="preserve">associated with biofuels feedstock preparation or production steps </w:t>
      </w:r>
      <w:r w:rsidR="00080579">
        <w:rPr>
          <w:sz w:val="23"/>
          <w:szCs w:val="23"/>
        </w:rPr>
        <w:t>i</w:t>
      </w:r>
      <w:r w:rsidR="00E54F71" w:rsidRPr="0063458D">
        <w:rPr>
          <w:sz w:val="23"/>
          <w:szCs w:val="23"/>
        </w:rPr>
        <w:t>mpacts</w:t>
      </w:r>
      <w:r w:rsidR="00080579">
        <w:rPr>
          <w:sz w:val="23"/>
          <w:szCs w:val="23"/>
        </w:rPr>
        <w:t xml:space="preserve"> include the following</w:t>
      </w:r>
      <w:r w:rsidR="00E54F71" w:rsidRPr="0063458D">
        <w:rPr>
          <w:sz w:val="23"/>
          <w:szCs w:val="23"/>
        </w:rPr>
        <w:t>:</w:t>
      </w:r>
    </w:p>
    <w:p w14:paraId="0CC233DA" w14:textId="2BB5BCE0" w:rsidR="00EF4AB4" w:rsidRDefault="00EF4AB4" w:rsidP="007F3D91">
      <w:pPr>
        <w:pStyle w:val="ListParagraph"/>
        <w:numPr>
          <w:ilvl w:val="0"/>
          <w:numId w:val="1"/>
        </w:numPr>
        <w:rPr>
          <w:sz w:val="23"/>
          <w:szCs w:val="23"/>
        </w:rPr>
      </w:pPr>
      <w:r w:rsidRPr="00EF4AB4">
        <w:rPr>
          <w:sz w:val="23"/>
          <w:szCs w:val="23"/>
        </w:rPr>
        <w:t>Anaerobic digestion of manure and organic waste consumes/destroys volatile solids that if stored/managed in an anerobic environment would otherwise produce methane.  Therefore</w:t>
      </w:r>
      <w:r>
        <w:rPr>
          <w:sz w:val="23"/>
          <w:szCs w:val="23"/>
        </w:rPr>
        <w:t>,</w:t>
      </w:r>
      <w:r w:rsidRPr="00EF4AB4">
        <w:rPr>
          <w:sz w:val="23"/>
          <w:szCs w:val="23"/>
        </w:rPr>
        <w:t xml:space="preserve"> production of biogas/RNG from manure/organic wastes avoids methane emissions when baseline management of those wastes produces methane.</w:t>
      </w:r>
    </w:p>
    <w:p w14:paraId="1F088270" w14:textId="12623798" w:rsidR="0029270E" w:rsidRPr="0063458D" w:rsidRDefault="00E809B2" w:rsidP="007F3D91">
      <w:pPr>
        <w:pStyle w:val="ListParagraph"/>
        <w:numPr>
          <w:ilvl w:val="0"/>
          <w:numId w:val="1"/>
        </w:numPr>
        <w:rPr>
          <w:sz w:val="23"/>
          <w:szCs w:val="23"/>
        </w:rPr>
      </w:pPr>
      <w:r w:rsidRPr="0063458D">
        <w:rPr>
          <w:sz w:val="23"/>
          <w:szCs w:val="23"/>
        </w:rPr>
        <w:t xml:space="preserve">All other state-level </w:t>
      </w:r>
      <w:r w:rsidR="009E58A1" w:rsidRPr="0063458D">
        <w:rPr>
          <w:sz w:val="23"/>
          <w:szCs w:val="23"/>
        </w:rPr>
        <w:t xml:space="preserve">portfolio standard-style </w:t>
      </w:r>
      <w:r w:rsidRPr="0063458D">
        <w:rPr>
          <w:sz w:val="23"/>
          <w:szCs w:val="23"/>
        </w:rPr>
        <w:t xml:space="preserve">programs which </w:t>
      </w:r>
      <w:r w:rsidR="009E58A1" w:rsidRPr="0063458D">
        <w:rPr>
          <w:sz w:val="23"/>
          <w:szCs w:val="23"/>
        </w:rPr>
        <w:t>include lifecycle emissions assessments for biofuels also include counterfactual emissions impacts.</w:t>
      </w:r>
      <w:r w:rsidR="008C3290" w:rsidRPr="0063458D">
        <w:rPr>
          <w:sz w:val="23"/>
          <w:szCs w:val="23"/>
        </w:rPr>
        <w:t xml:space="preserve"> </w:t>
      </w:r>
      <w:proofErr w:type="gramStart"/>
      <w:r w:rsidR="00AA7F9F" w:rsidRPr="0063458D">
        <w:rPr>
          <w:sz w:val="23"/>
          <w:szCs w:val="23"/>
        </w:rPr>
        <w:t xml:space="preserve">With this in mind, </w:t>
      </w:r>
      <w:r w:rsidR="0049103E" w:rsidRPr="0063458D">
        <w:rPr>
          <w:sz w:val="23"/>
          <w:szCs w:val="23"/>
        </w:rPr>
        <w:t>exclusion</w:t>
      </w:r>
      <w:proofErr w:type="gramEnd"/>
      <w:r w:rsidR="008C3290" w:rsidRPr="0063458D">
        <w:rPr>
          <w:sz w:val="23"/>
          <w:szCs w:val="23"/>
        </w:rPr>
        <w:t xml:space="preserve"> of counterfactuals in Vermont</w:t>
      </w:r>
      <w:r w:rsidR="0049103E" w:rsidRPr="0063458D">
        <w:rPr>
          <w:sz w:val="23"/>
          <w:szCs w:val="23"/>
        </w:rPr>
        <w:t xml:space="preserve"> would cause the CHS to lack the same price signal</w:t>
      </w:r>
      <w:r w:rsidR="007B2D2E" w:rsidRPr="0063458D">
        <w:rPr>
          <w:sz w:val="23"/>
          <w:szCs w:val="23"/>
        </w:rPr>
        <w:t>s</w:t>
      </w:r>
      <w:r w:rsidR="0049103E" w:rsidRPr="0063458D">
        <w:rPr>
          <w:sz w:val="23"/>
          <w:szCs w:val="23"/>
        </w:rPr>
        <w:t xml:space="preserve"> </w:t>
      </w:r>
      <w:r w:rsidR="00F56537">
        <w:rPr>
          <w:sz w:val="23"/>
          <w:szCs w:val="23"/>
        </w:rPr>
        <w:t>that</w:t>
      </w:r>
      <w:r w:rsidR="00F56537" w:rsidRPr="0063458D">
        <w:rPr>
          <w:sz w:val="23"/>
          <w:szCs w:val="23"/>
        </w:rPr>
        <w:t xml:space="preserve"> </w:t>
      </w:r>
      <w:r w:rsidR="007B2D2E" w:rsidRPr="0063458D">
        <w:rPr>
          <w:sz w:val="23"/>
          <w:szCs w:val="23"/>
        </w:rPr>
        <w:t>attract</w:t>
      </w:r>
      <w:r w:rsidR="0049103E" w:rsidRPr="0063458D">
        <w:rPr>
          <w:sz w:val="23"/>
          <w:szCs w:val="23"/>
        </w:rPr>
        <w:t xml:space="preserve"> the lowest carbon</w:t>
      </w:r>
      <w:r w:rsidR="00443741">
        <w:rPr>
          <w:sz w:val="23"/>
          <w:szCs w:val="23"/>
        </w:rPr>
        <w:t>-</w:t>
      </w:r>
      <w:r w:rsidR="0049103E" w:rsidRPr="0063458D">
        <w:rPr>
          <w:sz w:val="23"/>
          <w:szCs w:val="23"/>
        </w:rPr>
        <w:t>intensity biofuel</w:t>
      </w:r>
      <w:r w:rsidR="007A5BEF" w:rsidRPr="0063458D">
        <w:rPr>
          <w:sz w:val="23"/>
          <w:szCs w:val="23"/>
        </w:rPr>
        <w:t xml:space="preserve">, potentially making Vermont less competitive as a destination for </w:t>
      </w:r>
      <w:r w:rsidR="00AD1ABE" w:rsidRPr="0063458D">
        <w:rPr>
          <w:sz w:val="23"/>
          <w:szCs w:val="23"/>
        </w:rPr>
        <w:t xml:space="preserve">biofuels </w:t>
      </w:r>
      <w:r w:rsidR="007A5BEF" w:rsidRPr="0063458D">
        <w:rPr>
          <w:sz w:val="23"/>
          <w:szCs w:val="23"/>
        </w:rPr>
        <w:t>emissions reduction pathways</w:t>
      </w:r>
      <w:r w:rsidR="00801049" w:rsidRPr="0063458D">
        <w:rPr>
          <w:sz w:val="23"/>
          <w:szCs w:val="23"/>
        </w:rPr>
        <w:t>.</w:t>
      </w:r>
    </w:p>
    <w:p w14:paraId="5C06969E" w14:textId="0E9EC994" w:rsidR="00801049" w:rsidRPr="0063458D" w:rsidRDefault="00801049" w:rsidP="007F3D91">
      <w:pPr>
        <w:pStyle w:val="ListParagraph"/>
        <w:numPr>
          <w:ilvl w:val="0"/>
          <w:numId w:val="1"/>
        </w:numPr>
        <w:rPr>
          <w:sz w:val="23"/>
          <w:szCs w:val="23"/>
        </w:rPr>
      </w:pPr>
      <w:r w:rsidRPr="0063458D">
        <w:rPr>
          <w:sz w:val="23"/>
          <w:szCs w:val="23"/>
        </w:rPr>
        <w:t xml:space="preserve">Reconciliation of program-based lifecycle carbon accounting and state-level inventories </w:t>
      </w:r>
      <w:r w:rsidR="00515BE4" w:rsidRPr="0063458D">
        <w:rPr>
          <w:sz w:val="23"/>
          <w:szCs w:val="23"/>
        </w:rPr>
        <w:t xml:space="preserve">has been accomplished in other states for </w:t>
      </w:r>
      <w:proofErr w:type="gramStart"/>
      <w:r w:rsidR="00F4529D">
        <w:rPr>
          <w:sz w:val="23"/>
          <w:szCs w:val="23"/>
        </w:rPr>
        <w:t>a number of</w:t>
      </w:r>
      <w:proofErr w:type="gramEnd"/>
      <w:r w:rsidR="00F4529D" w:rsidRPr="0063458D">
        <w:rPr>
          <w:sz w:val="23"/>
          <w:szCs w:val="23"/>
        </w:rPr>
        <w:t xml:space="preserve"> </w:t>
      </w:r>
      <w:r w:rsidR="00515BE4" w:rsidRPr="0063458D">
        <w:rPr>
          <w:sz w:val="23"/>
          <w:szCs w:val="23"/>
        </w:rPr>
        <w:t>years.</w:t>
      </w:r>
      <w:r w:rsidR="002321FE" w:rsidRPr="0063458D">
        <w:rPr>
          <w:sz w:val="23"/>
          <w:szCs w:val="23"/>
        </w:rPr>
        <w:t xml:space="preserve"> </w:t>
      </w:r>
      <w:r w:rsidR="00F4529D">
        <w:rPr>
          <w:sz w:val="23"/>
          <w:szCs w:val="23"/>
        </w:rPr>
        <w:t>A</w:t>
      </w:r>
      <w:r w:rsidR="002321FE" w:rsidRPr="0063458D">
        <w:rPr>
          <w:sz w:val="23"/>
          <w:szCs w:val="23"/>
        </w:rPr>
        <w:t>nalogous precedent can be seen in California, Oregon, and Washington</w:t>
      </w:r>
      <w:r w:rsidR="00F84F2C" w:rsidRPr="0063458D">
        <w:rPr>
          <w:sz w:val="23"/>
          <w:szCs w:val="23"/>
        </w:rPr>
        <w:t>.</w:t>
      </w:r>
      <w:r w:rsidR="00FE0953" w:rsidRPr="0063458D">
        <w:rPr>
          <w:sz w:val="23"/>
          <w:szCs w:val="23"/>
        </w:rPr>
        <w:t xml:space="preserve"> Note that this must occur in Vermont regardless of whether counterfactuals are included.</w:t>
      </w:r>
    </w:p>
    <w:p w14:paraId="589BF431" w14:textId="78A5DEAD" w:rsidR="0080699A" w:rsidRPr="0063458D" w:rsidRDefault="0080699A" w:rsidP="007F3D91">
      <w:pPr>
        <w:pStyle w:val="ListParagraph"/>
        <w:numPr>
          <w:ilvl w:val="0"/>
          <w:numId w:val="1"/>
        </w:numPr>
        <w:rPr>
          <w:sz w:val="23"/>
          <w:szCs w:val="23"/>
        </w:rPr>
      </w:pPr>
      <w:r w:rsidRPr="0063458D">
        <w:rPr>
          <w:sz w:val="23"/>
          <w:szCs w:val="23"/>
        </w:rPr>
        <w:t xml:space="preserve">Program targets </w:t>
      </w:r>
      <w:r w:rsidR="00C47DF5" w:rsidRPr="0063458D">
        <w:rPr>
          <w:sz w:val="23"/>
          <w:szCs w:val="23"/>
        </w:rPr>
        <w:t xml:space="preserve">(i.e., the rate of decline of the cap) must be adjusted to preemptively account for </w:t>
      </w:r>
      <w:r w:rsidR="00B90091" w:rsidRPr="0063458D">
        <w:rPr>
          <w:sz w:val="23"/>
          <w:szCs w:val="23"/>
        </w:rPr>
        <w:t>expected lifecycle emissions from biofuels</w:t>
      </w:r>
      <w:r w:rsidR="009A488E" w:rsidRPr="0063458D">
        <w:rPr>
          <w:sz w:val="23"/>
          <w:szCs w:val="23"/>
        </w:rPr>
        <w:t>, which can include estimates for counterfactuals.</w:t>
      </w:r>
    </w:p>
    <w:p w14:paraId="7DFC3808" w14:textId="7985718C" w:rsidR="00515BE4" w:rsidRPr="0063458D" w:rsidRDefault="006C1049" w:rsidP="007F3D91">
      <w:pPr>
        <w:pStyle w:val="ListParagraph"/>
        <w:numPr>
          <w:ilvl w:val="0"/>
          <w:numId w:val="1"/>
        </w:numPr>
        <w:rPr>
          <w:sz w:val="23"/>
          <w:szCs w:val="23"/>
        </w:rPr>
      </w:pPr>
      <w:r w:rsidRPr="0063458D">
        <w:rPr>
          <w:sz w:val="23"/>
          <w:szCs w:val="23"/>
        </w:rPr>
        <w:t xml:space="preserve">Given the </w:t>
      </w:r>
      <w:r w:rsidR="00BC74DB" w:rsidRPr="0063458D">
        <w:rPr>
          <w:sz w:val="23"/>
          <w:szCs w:val="23"/>
        </w:rPr>
        <w:t xml:space="preserve">urgency of the climate crisis, </w:t>
      </w:r>
      <w:r w:rsidR="00897AEE" w:rsidRPr="0063458D">
        <w:rPr>
          <w:sz w:val="23"/>
          <w:szCs w:val="23"/>
        </w:rPr>
        <w:t>a secondary goal to reducing emissions in the thermal sector should be</w:t>
      </w:r>
      <w:r w:rsidR="00F42659" w:rsidRPr="0063458D">
        <w:rPr>
          <w:sz w:val="23"/>
          <w:szCs w:val="23"/>
        </w:rPr>
        <w:t xml:space="preserve"> to incent</w:t>
      </w:r>
      <w:r w:rsidR="00F4529D">
        <w:rPr>
          <w:sz w:val="23"/>
          <w:szCs w:val="23"/>
        </w:rPr>
        <w:t>ivize</w:t>
      </w:r>
      <w:r w:rsidR="00F42659" w:rsidRPr="0063458D">
        <w:rPr>
          <w:sz w:val="23"/>
          <w:szCs w:val="23"/>
        </w:rPr>
        <w:t xml:space="preserve"> as many GHG reductions as possible.</w:t>
      </w:r>
      <w:r w:rsidR="00897AEE" w:rsidRPr="0063458D">
        <w:rPr>
          <w:sz w:val="23"/>
          <w:szCs w:val="23"/>
        </w:rPr>
        <w:t xml:space="preserve"> Doing so is implied </w:t>
      </w:r>
      <w:proofErr w:type="gramStart"/>
      <w:r w:rsidR="00A029E0" w:rsidRPr="0063458D">
        <w:rPr>
          <w:sz w:val="23"/>
          <w:szCs w:val="23"/>
        </w:rPr>
        <w:t>by the use of</w:t>
      </w:r>
      <w:proofErr w:type="gramEnd"/>
      <w:r w:rsidR="00A029E0" w:rsidRPr="0063458D">
        <w:rPr>
          <w:sz w:val="23"/>
          <w:szCs w:val="23"/>
        </w:rPr>
        <w:t xml:space="preserve"> lifecycle carbon intensity scoring within the CHS. Including counterfactuals for methane avoidance</w:t>
      </w:r>
      <w:r w:rsidR="0007206F" w:rsidRPr="0063458D">
        <w:rPr>
          <w:sz w:val="23"/>
          <w:szCs w:val="23"/>
        </w:rPr>
        <w:t xml:space="preserve"> is a significant lever for doing so.</w:t>
      </w:r>
    </w:p>
    <w:p w14:paraId="7719D8F9" w14:textId="5A904431" w:rsidR="00595829" w:rsidRPr="00CE2F57" w:rsidRDefault="00453E51" w:rsidP="00CE2F57">
      <w:pPr>
        <w:pStyle w:val="ListParagraph"/>
        <w:numPr>
          <w:ilvl w:val="0"/>
          <w:numId w:val="1"/>
        </w:numPr>
        <w:rPr>
          <w:sz w:val="23"/>
          <w:szCs w:val="23"/>
        </w:rPr>
      </w:pPr>
      <w:r w:rsidRPr="0063458D">
        <w:rPr>
          <w:sz w:val="23"/>
          <w:szCs w:val="23"/>
        </w:rPr>
        <w:t xml:space="preserve">Providing value for upstream methane avoidance related to fuel production </w:t>
      </w:r>
      <w:r w:rsidR="00434A93" w:rsidRPr="0063458D">
        <w:rPr>
          <w:sz w:val="23"/>
          <w:szCs w:val="23"/>
        </w:rPr>
        <w:t xml:space="preserve">will provide an important pathway for Vermont dairy farmers to reduce their emissions. </w:t>
      </w:r>
      <w:r w:rsidR="004D2652" w:rsidRPr="0063458D">
        <w:rPr>
          <w:sz w:val="23"/>
          <w:szCs w:val="23"/>
        </w:rPr>
        <w:t xml:space="preserve">This should be an important consideration given the prominence of Vermont’s dairy industry </w:t>
      </w:r>
      <w:r w:rsidR="00B743D2" w:rsidRPr="0063458D">
        <w:rPr>
          <w:sz w:val="23"/>
          <w:szCs w:val="23"/>
        </w:rPr>
        <w:t xml:space="preserve">in the state and </w:t>
      </w:r>
      <w:r w:rsidR="00F4529D">
        <w:rPr>
          <w:sz w:val="23"/>
          <w:szCs w:val="23"/>
        </w:rPr>
        <w:t>its</w:t>
      </w:r>
      <w:r w:rsidR="00F4529D" w:rsidRPr="0063458D">
        <w:rPr>
          <w:sz w:val="23"/>
          <w:szCs w:val="23"/>
        </w:rPr>
        <w:t xml:space="preserve"> </w:t>
      </w:r>
      <w:r w:rsidR="00B743D2" w:rsidRPr="0063458D">
        <w:rPr>
          <w:sz w:val="23"/>
          <w:szCs w:val="23"/>
        </w:rPr>
        <w:t xml:space="preserve">vulnerability </w:t>
      </w:r>
      <w:r w:rsidR="00F4529D">
        <w:rPr>
          <w:sz w:val="23"/>
          <w:szCs w:val="23"/>
        </w:rPr>
        <w:t>to</w:t>
      </w:r>
      <w:r w:rsidR="00B743D2" w:rsidRPr="0063458D">
        <w:rPr>
          <w:sz w:val="23"/>
          <w:szCs w:val="23"/>
        </w:rPr>
        <w:t xml:space="preserve"> climate chan</w:t>
      </w:r>
      <w:r w:rsidR="008C493A" w:rsidRPr="0063458D">
        <w:rPr>
          <w:sz w:val="23"/>
          <w:szCs w:val="23"/>
        </w:rPr>
        <w:t>g</w:t>
      </w:r>
      <w:r w:rsidR="00B743D2" w:rsidRPr="0063458D">
        <w:rPr>
          <w:sz w:val="23"/>
          <w:szCs w:val="23"/>
        </w:rPr>
        <w:t>e and out-of-state competition.</w:t>
      </w:r>
    </w:p>
    <w:p w14:paraId="23C642DC" w14:textId="29CA3951" w:rsidR="00484607" w:rsidRDefault="00595829" w:rsidP="0063458D">
      <w:pPr>
        <w:pStyle w:val="ListParagraph"/>
        <w:numPr>
          <w:ilvl w:val="0"/>
          <w:numId w:val="1"/>
        </w:numPr>
        <w:rPr>
          <w:sz w:val="23"/>
          <w:szCs w:val="23"/>
        </w:rPr>
      </w:pPr>
      <w:r w:rsidRPr="00595829">
        <w:rPr>
          <w:sz w:val="23"/>
          <w:szCs w:val="23"/>
        </w:rPr>
        <w:t>Diversion of organic waste away from landfills as a feedstock for anaerobic digestion is a primary biogas/RNG production pathway with a volumetric and emissions reduction potential far greater than animal manure. This pathway is growing in prominence within North America</w:t>
      </w:r>
      <w:r w:rsidR="00086C24">
        <w:rPr>
          <w:sz w:val="23"/>
          <w:szCs w:val="23"/>
        </w:rPr>
        <w:t xml:space="preserve"> and</w:t>
      </w:r>
      <w:r w:rsidRPr="00595829">
        <w:rPr>
          <w:sz w:val="23"/>
          <w:szCs w:val="23"/>
        </w:rPr>
        <w:t xml:space="preserve"> has allowed sustainability leaders like Denmark to achieve a landfill rate of less than 10% (some estimates show under 1%). Inclusion of the avoided methane benefits when assessing the lifecycle carbon intensity of such pathways will </w:t>
      </w:r>
      <w:r w:rsidRPr="00595829">
        <w:rPr>
          <w:sz w:val="23"/>
          <w:szCs w:val="23"/>
        </w:rPr>
        <w:lastRenderedPageBreak/>
        <w:t>result in a carbon intensity score that values food waste diversion over landfilling. Exclusion of this counterfactual will treat landfilling and organic waste diversion the same. At this stage the act of landfilling remains less costly than organic waste diversion, meaning that the CHS will almost certainly select RNG derived from business</w:t>
      </w:r>
      <w:r w:rsidR="00F4529D">
        <w:rPr>
          <w:sz w:val="23"/>
          <w:szCs w:val="23"/>
        </w:rPr>
        <w:t>-</w:t>
      </w:r>
      <w:r w:rsidRPr="00595829">
        <w:rPr>
          <w:sz w:val="23"/>
          <w:szCs w:val="23"/>
        </w:rPr>
        <w:t>as</w:t>
      </w:r>
      <w:r w:rsidR="00F4529D">
        <w:rPr>
          <w:sz w:val="23"/>
          <w:szCs w:val="23"/>
        </w:rPr>
        <w:t>-</w:t>
      </w:r>
      <w:r w:rsidRPr="00595829">
        <w:rPr>
          <w:sz w:val="23"/>
          <w:szCs w:val="23"/>
        </w:rPr>
        <w:t>usual landfilling practices as the lowest hanging fruit, foregoing a significant opportunity to reduce methane emissions and improve the broader environmental impacts of organic waste disposal.</w:t>
      </w:r>
    </w:p>
    <w:p w14:paraId="383B0511" w14:textId="0C752E4E" w:rsidR="00711818" w:rsidRDefault="009A076A" w:rsidP="0063458D">
      <w:pPr>
        <w:pStyle w:val="ListParagraph"/>
        <w:numPr>
          <w:ilvl w:val="0"/>
          <w:numId w:val="1"/>
        </w:numPr>
        <w:rPr>
          <w:sz w:val="23"/>
          <w:szCs w:val="23"/>
        </w:rPr>
      </w:pPr>
      <w:r w:rsidRPr="009A076A">
        <w:rPr>
          <w:sz w:val="23"/>
          <w:szCs w:val="23"/>
        </w:rPr>
        <w:t xml:space="preserve">Avoided methane emissions continue to remain a component of lifecycle assessment for RNG pathways in the GREET model according to updates by Argonne </w:t>
      </w:r>
      <w:r>
        <w:rPr>
          <w:sz w:val="23"/>
          <w:szCs w:val="23"/>
        </w:rPr>
        <w:t>in</w:t>
      </w:r>
      <w:r w:rsidRPr="009A076A">
        <w:rPr>
          <w:sz w:val="23"/>
          <w:szCs w:val="23"/>
        </w:rPr>
        <w:t xml:space="preserve"> 2024. Most recently, Argonne's September 2024 presentation</w:t>
      </w:r>
      <w:r>
        <w:rPr>
          <w:rStyle w:val="FootnoteReference"/>
          <w:sz w:val="23"/>
          <w:szCs w:val="23"/>
        </w:rPr>
        <w:footnoteReference w:id="2"/>
      </w:r>
      <w:r w:rsidRPr="009A076A">
        <w:rPr>
          <w:sz w:val="23"/>
          <w:szCs w:val="23"/>
        </w:rPr>
        <w:t xml:space="preserve"> shows updated values for RNG after a year-long literature review of "state-level manure management data" (slide 10). R&amp;D GREET values remain inclusive of avoided methane crediting (slide 13).</w:t>
      </w:r>
    </w:p>
    <w:p w14:paraId="75A1DB0D" w14:textId="48DC4238" w:rsidR="00D3343E" w:rsidRDefault="00D3343E" w:rsidP="0063458D">
      <w:pPr>
        <w:pStyle w:val="ListParagraph"/>
        <w:numPr>
          <w:ilvl w:val="0"/>
          <w:numId w:val="1"/>
        </w:numPr>
        <w:rPr>
          <w:sz w:val="23"/>
          <w:szCs w:val="23"/>
        </w:rPr>
      </w:pPr>
      <w:r w:rsidRPr="00D3343E">
        <w:rPr>
          <w:sz w:val="23"/>
          <w:szCs w:val="23"/>
        </w:rPr>
        <w:t>State-level implementation of the Clean Water Act (including in Vermont) often results in large farms being required to have long term (e.g.</w:t>
      </w:r>
      <w:r>
        <w:rPr>
          <w:sz w:val="23"/>
          <w:szCs w:val="23"/>
        </w:rPr>
        <w:t>,</w:t>
      </w:r>
      <w:r w:rsidRPr="00D3343E">
        <w:rPr>
          <w:sz w:val="23"/>
          <w:szCs w:val="23"/>
        </w:rPr>
        <w:t xml:space="preserve"> &gt;180 days) manure storage capacity</w:t>
      </w:r>
      <w:r>
        <w:rPr>
          <w:sz w:val="23"/>
          <w:szCs w:val="23"/>
        </w:rPr>
        <w:t>,</w:t>
      </w:r>
      <w:r w:rsidRPr="00D3343E">
        <w:rPr>
          <w:sz w:val="23"/>
          <w:szCs w:val="23"/>
        </w:rPr>
        <w:t xml:space="preserve"> </w:t>
      </w:r>
      <w:proofErr w:type="gramStart"/>
      <w:r w:rsidRPr="00D3343E">
        <w:rPr>
          <w:sz w:val="23"/>
          <w:szCs w:val="23"/>
        </w:rPr>
        <w:t>in order to</w:t>
      </w:r>
      <w:proofErr w:type="gramEnd"/>
      <w:r w:rsidRPr="00D3343E">
        <w:rPr>
          <w:sz w:val="23"/>
          <w:szCs w:val="23"/>
        </w:rPr>
        <w:t xml:space="preserve"> remain in compliance with state level waste management permits. The primary purpose of these mandates is to mitigate adverse water quality impacts associated with manure spreading by requiring farms to spread manure at times that will not result in substantial run-off (e.g.</w:t>
      </w:r>
      <w:r>
        <w:rPr>
          <w:sz w:val="23"/>
          <w:szCs w:val="23"/>
        </w:rPr>
        <w:t>,</w:t>
      </w:r>
      <w:r w:rsidRPr="00D3343E">
        <w:rPr>
          <w:sz w:val="23"/>
          <w:szCs w:val="23"/>
        </w:rPr>
        <w:t xml:space="preserve"> when ground isn't frozen).  As a result</w:t>
      </w:r>
      <w:r>
        <w:rPr>
          <w:sz w:val="23"/>
          <w:szCs w:val="23"/>
        </w:rPr>
        <w:t>,</w:t>
      </w:r>
      <w:r w:rsidRPr="00D3343E">
        <w:rPr>
          <w:sz w:val="23"/>
          <w:szCs w:val="23"/>
        </w:rPr>
        <w:t xml:space="preserve"> large farms need large manure storage facilities (i.e</w:t>
      </w:r>
      <w:r>
        <w:rPr>
          <w:sz w:val="23"/>
          <w:szCs w:val="23"/>
        </w:rPr>
        <w:t>.,</w:t>
      </w:r>
      <w:r w:rsidRPr="00D3343E">
        <w:rPr>
          <w:sz w:val="23"/>
          <w:szCs w:val="23"/>
        </w:rPr>
        <w:t xml:space="preserve"> lagoons) to comply with permitting requirements and manure methane is often an in-direct consequence of otherwise well</w:t>
      </w:r>
      <w:r>
        <w:rPr>
          <w:sz w:val="23"/>
          <w:szCs w:val="23"/>
        </w:rPr>
        <w:t>-</w:t>
      </w:r>
      <w:r w:rsidRPr="00D3343E">
        <w:rPr>
          <w:sz w:val="23"/>
          <w:szCs w:val="23"/>
        </w:rPr>
        <w:t>intentioned state and federal policy. Like most businesses</w:t>
      </w:r>
      <w:r>
        <w:rPr>
          <w:sz w:val="23"/>
          <w:szCs w:val="23"/>
        </w:rPr>
        <w:t>,</w:t>
      </w:r>
      <w:r w:rsidRPr="00D3343E">
        <w:rPr>
          <w:sz w:val="23"/>
          <w:szCs w:val="23"/>
        </w:rPr>
        <w:t xml:space="preserve"> farms need a business case to make substantial investments in sustainability improvements</w:t>
      </w:r>
      <w:r>
        <w:rPr>
          <w:sz w:val="23"/>
          <w:szCs w:val="23"/>
        </w:rPr>
        <w:t>,</w:t>
      </w:r>
      <w:r w:rsidRPr="00D3343E">
        <w:rPr>
          <w:sz w:val="23"/>
          <w:szCs w:val="23"/>
        </w:rPr>
        <w:t xml:space="preserve"> including methane reduction. The financial incentives provided by clean and low</w:t>
      </w:r>
      <w:r>
        <w:rPr>
          <w:sz w:val="23"/>
          <w:szCs w:val="23"/>
        </w:rPr>
        <w:t>-</w:t>
      </w:r>
      <w:r w:rsidRPr="00D3343E">
        <w:rPr>
          <w:sz w:val="23"/>
          <w:szCs w:val="23"/>
        </w:rPr>
        <w:t>carbon fuel programs that include avoided methane crediting have proven effective at providing that business case to farms across the US</w:t>
      </w:r>
      <w:r>
        <w:rPr>
          <w:sz w:val="23"/>
          <w:szCs w:val="23"/>
        </w:rPr>
        <w:t>,</w:t>
      </w:r>
      <w:r w:rsidRPr="00D3343E">
        <w:rPr>
          <w:sz w:val="23"/>
          <w:szCs w:val="23"/>
        </w:rPr>
        <w:t xml:space="preserve"> as evidenced by the growth of the number of anaerobic digesters on farms since implementation of such programs.</w:t>
      </w:r>
    </w:p>
    <w:p w14:paraId="7CDD9555" w14:textId="087195A0" w:rsidR="00EC6C71" w:rsidRPr="0063458D" w:rsidRDefault="00EC6C71" w:rsidP="0063458D">
      <w:pPr>
        <w:pStyle w:val="ListParagraph"/>
        <w:numPr>
          <w:ilvl w:val="0"/>
          <w:numId w:val="1"/>
        </w:numPr>
        <w:rPr>
          <w:sz w:val="23"/>
          <w:szCs w:val="23"/>
        </w:rPr>
      </w:pPr>
      <w:r>
        <w:rPr>
          <w:sz w:val="23"/>
          <w:szCs w:val="23"/>
        </w:rPr>
        <w:t>As other jurisdictions have done</w:t>
      </w:r>
      <w:r>
        <w:rPr>
          <w:sz w:val="23"/>
          <w:szCs w:val="23"/>
        </w:rPr>
        <w:t>,</w:t>
      </w:r>
      <w:r>
        <w:rPr>
          <w:sz w:val="23"/>
          <w:szCs w:val="23"/>
        </w:rPr>
        <w:t xml:space="preserve"> a CHS regulation could be written to cease crediting avoided methane emissions </w:t>
      </w:r>
      <w:proofErr w:type="gramStart"/>
      <w:r>
        <w:rPr>
          <w:sz w:val="23"/>
          <w:szCs w:val="23"/>
        </w:rPr>
        <w:t>in the event that</w:t>
      </w:r>
      <w:proofErr w:type="gramEnd"/>
      <w:r>
        <w:rPr>
          <w:sz w:val="23"/>
          <w:szCs w:val="23"/>
        </w:rPr>
        <w:t xml:space="preserve"> regulations are implemented in Vermont that require farms to reduce their manure methane emissions because such a regulation would make them no longer additional to business</w:t>
      </w:r>
      <w:r>
        <w:rPr>
          <w:sz w:val="23"/>
          <w:szCs w:val="23"/>
        </w:rPr>
        <w:t>-</w:t>
      </w:r>
      <w:r>
        <w:rPr>
          <w:sz w:val="23"/>
          <w:szCs w:val="23"/>
        </w:rPr>
        <w:t>as</w:t>
      </w:r>
      <w:r>
        <w:rPr>
          <w:sz w:val="23"/>
          <w:szCs w:val="23"/>
        </w:rPr>
        <w:t>-</w:t>
      </w:r>
      <w:r>
        <w:rPr>
          <w:sz w:val="23"/>
          <w:szCs w:val="23"/>
        </w:rPr>
        <w:t>usual. For example</w:t>
      </w:r>
      <w:r>
        <w:rPr>
          <w:sz w:val="23"/>
          <w:szCs w:val="23"/>
        </w:rPr>
        <w:t>,</w:t>
      </w:r>
      <w:r>
        <w:rPr>
          <w:sz w:val="23"/>
          <w:szCs w:val="23"/>
        </w:rPr>
        <w:t xml:space="preserve"> the CARB LCFS regulation allows avoided methane crediting that is voluntary but in the event of a mandate the project would not be able to claim avoided methane reductions in subsequent crediting periods.</w:t>
      </w:r>
      <w:r>
        <w:rPr>
          <w:rStyle w:val="FootnoteReference"/>
          <w:sz w:val="23"/>
          <w:szCs w:val="23"/>
        </w:rPr>
        <w:footnoteReference w:id="3"/>
      </w:r>
    </w:p>
    <w:p w14:paraId="61C281DA" w14:textId="1DF89107" w:rsidR="00E54F71" w:rsidRPr="0063458D" w:rsidRDefault="002E4D73" w:rsidP="0063458D">
      <w:pPr>
        <w:spacing w:after="120"/>
        <w:rPr>
          <w:sz w:val="23"/>
          <w:szCs w:val="23"/>
        </w:rPr>
      </w:pPr>
      <w:r w:rsidRPr="0063458D">
        <w:rPr>
          <w:sz w:val="23"/>
          <w:szCs w:val="23"/>
        </w:rPr>
        <w:lastRenderedPageBreak/>
        <w:t xml:space="preserve">Arguments for </w:t>
      </w:r>
      <w:r w:rsidR="00012D41">
        <w:rPr>
          <w:sz w:val="23"/>
          <w:szCs w:val="23"/>
        </w:rPr>
        <w:t>e</w:t>
      </w:r>
      <w:r w:rsidR="00E54F71" w:rsidRPr="0063458D">
        <w:rPr>
          <w:sz w:val="23"/>
          <w:szCs w:val="23"/>
        </w:rPr>
        <w:t>xclu</w:t>
      </w:r>
      <w:r w:rsidR="00012D41">
        <w:rPr>
          <w:sz w:val="23"/>
          <w:szCs w:val="23"/>
        </w:rPr>
        <w:t>ding</w:t>
      </w:r>
      <w:r w:rsidR="00E54F71" w:rsidRPr="0063458D">
        <w:rPr>
          <w:sz w:val="23"/>
          <w:szCs w:val="23"/>
        </w:rPr>
        <w:t xml:space="preserve"> </w:t>
      </w:r>
      <w:r w:rsidR="00012D41">
        <w:rPr>
          <w:sz w:val="23"/>
          <w:szCs w:val="23"/>
        </w:rPr>
        <w:t>the c</w:t>
      </w:r>
      <w:r w:rsidR="00E54F71" w:rsidRPr="0063458D">
        <w:rPr>
          <w:sz w:val="23"/>
          <w:szCs w:val="23"/>
        </w:rPr>
        <w:t xml:space="preserve">ounterfactual </w:t>
      </w:r>
      <w:r w:rsidR="00012D41">
        <w:rPr>
          <w:sz w:val="23"/>
          <w:szCs w:val="23"/>
        </w:rPr>
        <w:t>e</w:t>
      </w:r>
      <w:r w:rsidR="00E54F71" w:rsidRPr="0063458D">
        <w:rPr>
          <w:sz w:val="23"/>
          <w:szCs w:val="23"/>
        </w:rPr>
        <w:t xml:space="preserve">missions </w:t>
      </w:r>
      <w:r w:rsidR="00012D41">
        <w:rPr>
          <w:sz w:val="23"/>
          <w:szCs w:val="23"/>
        </w:rPr>
        <w:t>i</w:t>
      </w:r>
      <w:r w:rsidR="00E54F71" w:rsidRPr="0063458D">
        <w:rPr>
          <w:sz w:val="23"/>
          <w:szCs w:val="23"/>
        </w:rPr>
        <w:t>mpacts</w:t>
      </w:r>
      <w:r w:rsidR="00012D41">
        <w:rPr>
          <w:sz w:val="23"/>
          <w:szCs w:val="23"/>
        </w:rPr>
        <w:t xml:space="preserve"> of eligible fuels from the Clean Heat program’s lifecycle analyses include the following</w:t>
      </w:r>
      <w:r w:rsidR="00E54F71" w:rsidRPr="0063458D">
        <w:rPr>
          <w:sz w:val="23"/>
          <w:szCs w:val="23"/>
        </w:rPr>
        <w:t>:</w:t>
      </w:r>
    </w:p>
    <w:p w14:paraId="4CCCAE5F" w14:textId="24324CDA" w:rsidR="00EC6C71" w:rsidRPr="0063458D" w:rsidRDefault="00EC6C71" w:rsidP="0063458D">
      <w:pPr>
        <w:pStyle w:val="ListParagraph"/>
        <w:numPr>
          <w:ilvl w:val="0"/>
          <w:numId w:val="1"/>
        </w:numPr>
        <w:spacing w:after="100" w:afterAutospacing="1"/>
        <w:rPr>
          <w:sz w:val="23"/>
          <w:szCs w:val="23"/>
        </w:rPr>
      </w:pPr>
      <w:r w:rsidRPr="0063458D">
        <w:rPr>
          <w:sz w:val="23"/>
          <w:szCs w:val="23"/>
        </w:rPr>
        <w:t>Act 18 explicitly requires that the CI phase</w:t>
      </w:r>
      <w:r>
        <w:rPr>
          <w:sz w:val="23"/>
          <w:szCs w:val="23"/>
        </w:rPr>
        <w:t>-</w:t>
      </w:r>
      <w:r w:rsidRPr="0063458D">
        <w:rPr>
          <w:sz w:val="23"/>
          <w:szCs w:val="23"/>
        </w:rPr>
        <w:t>out account for the specific fuel pathway, which includes feedstock generation. However, as a matter of LCA boundary-setting,</w:t>
      </w:r>
      <w:r>
        <w:rPr>
          <w:sz w:val="23"/>
          <w:szCs w:val="23"/>
        </w:rPr>
        <w:t xml:space="preserve"> if the scope will</w:t>
      </w:r>
      <w:r w:rsidRPr="0063458D">
        <w:rPr>
          <w:sz w:val="23"/>
          <w:szCs w:val="23"/>
        </w:rPr>
        <w:t xml:space="preserve"> </w:t>
      </w:r>
      <w:r>
        <w:rPr>
          <w:sz w:val="23"/>
          <w:szCs w:val="23"/>
        </w:rPr>
        <w:t>recognize</w:t>
      </w:r>
      <w:r w:rsidRPr="0063458D">
        <w:rPr>
          <w:sz w:val="23"/>
          <w:szCs w:val="23"/>
        </w:rPr>
        <w:t xml:space="preserve"> the benefits of avoided methane emissions</w:t>
      </w:r>
      <w:r>
        <w:rPr>
          <w:sz w:val="23"/>
          <w:szCs w:val="23"/>
        </w:rPr>
        <w:t>,</w:t>
      </w:r>
      <w:r w:rsidRPr="0063458D">
        <w:rPr>
          <w:sz w:val="23"/>
          <w:szCs w:val="23"/>
        </w:rPr>
        <w:t xml:space="preserve"> </w:t>
      </w:r>
      <w:r>
        <w:rPr>
          <w:sz w:val="23"/>
          <w:szCs w:val="23"/>
        </w:rPr>
        <w:t>it should</w:t>
      </w:r>
      <w:r w:rsidRPr="0063458D">
        <w:rPr>
          <w:sz w:val="23"/>
          <w:szCs w:val="23"/>
        </w:rPr>
        <w:t xml:space="preserve"> </w:t>
      </w:r>
      <w:r>
        <w:rPr>
          <w:sz w:val="23"/>
          <w:szCs w:val="23"/>
        </w:rPr>
        <w:t>also account for</w:t>
      </w:r>
      <w:r w:rsidRPr="0063458D">
        <w:rPr>
          <w:sz w:val="23"/>
          <w:szCs w:val="23"/>
        </w:rPr>
        <w:t xml:space="preserve"> </w:t>
      </w:r>
      <w:r>
        <w:rPr>
          <w:sz w:val="23"/>
          <w:szCs w:val="23"/>
        </w:rPr>
        <w:t xml:space="preserve">other upstream </w:t>
      </w:r>
      <w:r w:rsidRPr="0063458D">
        <w:rPr>
          <w:sz w:val="23"/>
          <w:szCs w:val="23"/>
        </w:rPr>
        <w:t xml:space="preserve">emissions associated with the facilities and sources that produce the methane in the first place. </w:t>
      </w:r>
      <w:r>
        <w:rPr>
          <w:sz w:val="23"/>
          <w:szCs w:val="23"/>
        </w:rPr>
        <w:t>For example, e</w:t>
      </w:r>
      <w:r w:rsidRPr="0063458D">
        <w:rPr>
          <w:sz w:val="23"/>
          <w:szCs w:val="23"/>
        </w:rPr>
        <w:t>missions</w:t>
      </w:r>
      <w:r>
        <w:rPr>
          <w:sz w:val="23"/>
          <w:szCs w:val="23"/>
        </w:rPr>
        <w:t xml:space="preserve"> from land-use changes (</w:t>
      </w:r>
      <w:r w:rsidRPr="0063458D">
        <w:rPr>
          <w:sz w:val="23"/>
          <w:szCs w:val="23"/>
        </w:rPr>
        <w:t>LUC</w:t>
      </w:r>
      <w:r>
        <w:rPr>
          <w:sz w:val="23"/>
          <w:szCs w:val="23"/>
        </w:rPr>
        <w:t>)</w:t>
      </w:r>
      <w:r w:rsidRPr="0063458D">
        <w:rPr>
          <w:sz w:val="23"/>
          <w:szCs w:val="23"/>
        </w:rPr>
        <w:t xml:space="preserve">, while sometimes indirect/induced, are caused by </w:t>
      </w:r>
      <w:r>
        <w:rPr>
          <w:sz w:val="23"/>
          <w:szCs w:val="23"/>
        </w:rPr>
        <w:t>the existence of the</w:t>
      </w:r>
      <w:r w:rsidRPr="0063458D">
        <w:rPr>
          <w:sz w:val="23"/>
          <w:szCs w:val="23"/>
        </w:rPr>
        <w:t xml:space="preserve"> biofuel: but for that biofuel, land use change would not have happened</w:t>
      </w:r>
      <w:r>
        <w:rPr>
          <w:sz w:val="23"/>
          <w:szCs w:val="23"/>
        </w:rPr>
        <w:t>.</w:t>
      </w:r>
      <w:r w:rsidRPr="0063458D">
        <w:rPr>
          <w:sz w:val="23"/>
          <w:szCs w:val="23"/>
        </w:rPr>
        <w:t xml:space="preserve"> </w:t>
      </w:r>
      <w:r>
        <w:rPr>
          <w:sz w:val="23"/>
          <w:szCs w:val="23"/>
        </w:rPr>
        <w:t>Related to avoided methane, i</w:t>
      </w:r>
      <w:r w:rsidRPr="0063458D">
        <w:rPr>
          <w:sz w:val="23"/>
          <w:szCs w:val="23"/>
        </w:rPr>
        <w:t>f the emissions from the manure lagoon</w:t>
      </w:r>
      <w:r>
        <w:rPr>
          <w:sz w:val="23"/>
          <w:szCs w:val="23"/>
        </w:rPr>
        <w:t xml:space="preserve"> are accounted for and credited to the CI</w:t>
      </w:r>
      <w:r w:rsidRPr="0063458D">
        <w:rPr>
          <w:sz w:val="23"/>
          <w:szCs w:val="23"/>
        </w:rPr>
        <w:t>, then</w:t>
      </w:r>
      <w:r>
        <w:rPr>
          <w:sz w:val="23"/>
          <w:szCs w:val="23"/>
        </w:rPr>
        <w:t xml:space="preserve"> it would also be appropriate to account for</w:t>
      </w:r>
      <w:r>
        <w:rPr>
          <w:sz w:val="23"/>
          <w:szCs w:val="23"/>
        </w:rPr>
        <w:t xml:space="preserve"> </w:t>
      </w:r>
      <w:r w:rsidRPr="0063458D">
        <w:rPr>
          <w:sz w:val="23"/>
          <w:szCs w:val="23"/>
        </w:rPr>
        <w:t>the other emissions associated with the agricultural operations.</w:t>
      </w:r>
      <w:r>
        <w:rPr>
          <w:sz w:val="23"/>
          <w:szCs w:val="23"/>
        </w:rPr>
        <w:t xml:space="preserve"> LCA standards would do this through the process of co-product credit accounting. Generally, the first step would be to consider whether the manure is a waste from the agricultural operation or a co-product.  While LCA standards typically don’t apply upstream emissions to recycled waste products, if the manure were considered a co-product</w:t>
      </w:r>
      <w:r w:rsidR="000A5097">
        <w:rPr>
          <w:sz w:val="23"/>
          <w:szCs w:val="23"/>
        </w:rPr>
        <w:t>,</w:t>
      </w:r>
      <w:r>
        <w:rPr>
          <w:sz w:val="23"/>
          <w:szCs w:val="23"/>
        </w:rPr>
        <w:t xml:space="preserve"> then LCA standards would allocate a portion of the upstream emissions to the manure.  In the case of dairy </w:t>
      </w:r>
      <w:proofErr w:type="gramStart"/>
      <w:r>
        <w:rPr>
          <w:sz w:val="23"/>
          <w:szCs w:val="23"/>
        </w:rPr>
        <w:t>manure</w:t>
      </w:r>
      <w:proofErr w:type="gramEnd"/>
      <w:r>
        <w:rPr>
          <w:sz w:val="23"/>
          <w:szCs w:val="23"/>
        </w:rPr>
        <w:t xml:space="preserve"> the other primary co-products from the farm would likely be milk and meat. The appropriate portion of upstream emissions allocated to each would be determined through the process of co-product credit allocation.</w:t>
      </w:r>
    </w:p>
    <w:p w14:paraId="466A5C13" w14:textId="33C97C8C" w:rsidR="00DB5331" w:rsidRPr="0063458D" w:rsidRDefault="00415F44" w:rsidP="00374A1E">
      <w:pPr>
        <w:pStyle w:val="ListParagraph"/>
        <w:numPr>
          <w:ilvl w:val="0"/>
          <w:numId w:val="1"/>
        </w:numPr>
        <w:rPr>
          <w:sz w:val="23"/>
          <w:szCs w:val="23"/>
        </w:rPr>
      </w:pPr>
      <w:r w:rsidRPr="0063458D">
        <w:rPr>
          <w:sz w:val="23"/>
          <w:szCs w:val="23"/>
        </w:rPr>
        <w:t>Including negative carbon</w:t>
      </w:r>
      <w:r w:rsidR="0040567C">
        <w:rPr>
          <w:sz w:val="23"/>
          <w:szCs w:val="23"/>
        </w:rPr>
        <w:t>-</w:t>
      </w:r>
      <w:r w:rsidRPr="0063458D">
        <w:rPr>
          <w:sz w:val="23"/>
          <w:szCs w:val="23"/>
        </w:rPr>
        <w:t>intensity scores could have a distortionary impact on the CHS program</w:t>
      </w:r>
      <w:r w:rsidR="00E820DB">
        <w:rPr>
          <w:sz w:val="23"/>
          <w:szCs w:val="23"/>
        </w:rPr>
        <w:t xml:space="preserve">. </w:t>
      </w:r>
      <w:r w:rsidR="00B16437">
        <w:rPr>
          <w:sz w:val="23"/>
          <w:szCs w:val="23"/>
        </w:rPr>
        <w:t>If t</w:t>
      </w:r>
      <w:r w:rsidR="00374A1E">
        <w:rPr>
          <w:sz w:val="23"/>
          <w:szCs w:val="23"/>
        </w:rPr>
        <w:t xml:space="preserve">he </w:t>
      </w:r>
      <w:r w:rsidR="00512653" w:rsidRPr="0063458D">
        <w:rPr>
          <w:sz w:val="23"/>
          <w:szCs w:val="23"/>
        </w:rPr>
        <w:t xml:space="preserve">CHS program </w:t>
      </w:r>
      <w:r w:rsidR="00A07485">
        <w:rPr>
          <w:sz w:val="23"/>
          <w:szCs w:val="23"/>
        </w:rPr>
        <w:t xml:space="preserve">credits </w:t>
      </w:r>
      <w:r w:rsidR="00F87ED6" w:rsidRPr="0063458D">
        <w:rPr>
          <w:sz w:val="23"/>
          <w:szCs w:val="23"/>
        </w:rPr>
        <w:t>emissions from avoided methane, including out-of-state</w:t>
      </w:r>
      <w:r w:rsidR="00240A2C">
        <w:rPr>
          <w:sz w:val="23"/>
          <w:szCs w:val="23"/>
        </w:rPr>
        <w:t xml:space="preserve"> (or at least out</w:t>
      </w:r>
      <w:r w:rsidR="0040567C">
        <w:rPr>
          <w:sz w:val="23"/>
          <w:szCs w:val="23"/>
        </w:rPr>
        <w:t>-</w:t>
      </w:r>
      <w:r w:rsidR="00240A2C">
        <w:rPr>
          <w:sz w:val="23"/>
          <w:szCs w:val="23"/>
        </w:rPr>
        <w:t>of</w:t>
      </w:r>
      <w:r w:rsidR="0040567C">
        <w:rPr>
          <w:sz w:val="23"/>
          <w:szCs w:val="23"/>
        </w:rPr>
        <w:t>-</w:t>
      </w:r>
      <w:r w:rsidR="00240A2C">
        <w:rPr>
          <w:sz w:val="23"/>
          <w:szCs w:val="23"/>
        </w:rPr>
        <w:t>sector)</w:t>
      </w:r>
      <w:r w:rsidR="00F87ED6" w:rsidRPr="0063458D">
        <w:rPr>
          <w:sz w:val="23"/>
          <w:szCs w:val="23"/>
        </w:rPr>
        <w:t xml:space="preserve"> avoided methane, </w:t>
      </w:r>
      <w:r w:rsidR="00A07485">
        <w:rPr>
          <w:sz w:val="23"/>
          <w:szCs w:val="23"/>
        </w:rPr>
        <w:t>but</w:t>
      </w:r>
      <w:r w:rsidR="00F87ED6" w:rsidRPr="0063458D">
        <w:rPr>
          <w:sz w:val="23"/>
          <w:szCs w:val="23"/>
        </w:rPr>
        <w:t xml:space="preserve"> those emissions reductions don’t show up in Vermont’s GHG inventory</w:t>
      </w:r>
      <w:r w:rsidR="00E820DB">
        <w:rPr>
          <w:sz w:val="23"/>
          <w:szCs w:val="23"/>
        </w:rPr>
        <w:t xml:space="preserve"> for the thermal sector</w:t>
      </w:r>
      <w:r w:rsidR="00F87ED6" w:rsidRPr="0063458D">
        <w:rPr>
          <w:sz w:val="23"/>
          <w:szCs w:val="23"/>
        </w:rPr>
        <w:t xml:space="preserve">, then the CHS program </w:t>
      </w:r>
      <w:r w:rsidR="0040567C">
        <w:rPr>
          <w:sz w:val="23"/>
          <w:szCs w:val="23"/>
        </w:rPr>
        <w:t>might</w:t>
      </w:r>
      <w:r w:rsidR="0040567C" w:rsidRPr="0063458D">
        <w:rPr>
          <w:sz w:val="23"/>
          <w:szCs w:val="23"/>
        </w:rPr>
        <w:t xml:space="preserve"> </w:t>
      </w:r>
      <w:r w:rsidR="00E75A98" w:rsidRPr="0063458D">
        <w:rPr>
          <w:sz w:val="23"/>
          <w:szCs w:val="23"/>
        </w:rPr>
        <w:t>need</w:t>
      </w:r>
      <w:r w:rsidR="00A07485">
        <w:rPr>
          <w:sz w:val="23"/>
          <w:szCs w:val="23"/>
        </w:rPr>
        <w:t xml:space="preserve"> to </w:t>
      </w:r>
      <w:r w:rsidR="00B64E33">
        <w:rPr>
          <w:sz w:val="23"/>
          <w:szCs w:val="23"/>
        </w:rPr>
        <w:t xml:space="preserve">compensate </w:t>
      </w:r>
      <w:r w:rsidR="0040567C">
        <w:rPr>
          <w:sz w:val="23"/>
          <w:szCs w:val="23"/>
        </w:rPr>
        <w:t xml:space="preserve">in some way </w:t>
      </w:r>
      <w:r w:rsidR="00B64E33">
        <w:rPr>
          <w:sz w:val="23"/>
          <w:szCs w:val="23"/>
        </w:rPr>
        <w:t xml:space="preserve">for </w:t>
      </w:r>
      <w:r w:rsidR="0040567C">
        <w:rPr>
          <w:sz w:val="23"/>
          <w:szCs w:val="23"/>
        </w:rPr>
        <w:t>creating clean heat credits that are not associated with Inventory emissions reductions</w:t>
      </w:r>
      <w:r w:rsidR="00B64E33">
        <w:rPr>
          <w:sz w:val="23"/>
          <w:szCs w:val="23"/>
        </w:rPr>
        <w:t xml:space="preserve">. </w:t>
      </w:r>
      <w:r w:rsidR="00E820DB">
        <w:rPr>
          <w:sz w:val="23"/>
          <w:szCs w:val="23"/>
        </w:rPr>
        <w:t>Requiring</w:t>
      </w:r>
      <w:r w:rsidR="00B64E33">
        <w:rPr>
          <w:sz w:val="23"/>
          <w:szCs w:val="23"/>
        </w:rPr>
        <w:t xml:space="preserve"> </w:t>
      </w:r>
      <w:r w:rsidR="00542AAC" w:rsidRPr="00542AAC">
        <w:rPr>
          <w:sz w:val="23"/>
          <w:szCs w:val="23"/>
        </w:rPr>
        <w:t xml:space="preserve">greater overall </w:t>
      </w:r>
      <w:r w:rsidR="00B16437">
        <w:rPr>
          <w:sz w:val="23"/>
          <w:szCs w:val="23"/>
        </w:rPr>
        <w:t xml:space="preserve">emissions </w:t>
      </w:r>
      <w:r w:rsidR="00542AAC" w:rsidRPr="00542AAC">
        <w:rPr>
          <w:sz w:val="23"/>
          <w:szCs w:val="23"/>
        </w:rPr>
        <w:t xml:space="preserve">reductions to compensate for some of those reductions not showing up in the Vermont </w:t>
      </w:r>
      <w:r w:rsidR="00B16437">
        <w:rPr>
          <w:sz w:val="23"/>
          <w:szCs w:val="23"/>
        </w:rPr>
        <w:t xml:space="preserve">GHG </w:t>
      </w:r>
      <w:r w:rsidR="00542AAC" w:rsidRPr="00542AAC">
        <w:rPr>
          <w:sz w:val="23"/>
          <w:szCs w:val="23"/>
        </w:rPr>
        <w:t>inventory</w:t>
      </w:r>
      <w:r w:rsidR="00E820DB">
        <w:rPr>
          <w:sz w:val="23"/>
          <w:szCs w:val="23"/>
        </w:rPr>
        <w:t xml:space="preserve"> </w:t>
      </w:r>
      <w:r w:rsidR="0040567C">
        <w:rPr>
          <w:sz w:val="23"/>
          <w:szCs w:val="23"/>
        </w:rPr>
        <w:t>could</w:t>
      </w:r>
      <w:r w:rsidR="00542AAC" w:rsidRPr="00542AAC">
        <w:rPr>
          <w:sz w:val="23"/>
          <w:szCs w:val="23"/>
        </w:rPr>
        <w:t xml:space="preserve"> lead to higher costs for Vermont</w:t>
      </w:r>
      <w:r w:rsidR="00E01C37">
        <w:rPr>
          <w:sz w:val="23"/>
          <w:szCs w:val="23"/>
        </w:rPr>
        <w:t xml:space="preserve"> custome</w:t>
      </w:r>
      <w:r w:rsidR="00542AAC" w:rsidRPr="00542AAC">
        <w:rPr>
          <w:sz w:val="23"/>
          <w:szCs w:val="23"/>
        </w:rPr>
        <w:t>rs.</w:t>
      </w:r>
      <w:r w:rsidR="003A7B03">
        <w:rPr>
          <w:sz w:val="23"/>
          <w:szCs w:val="23"/>
        </w:rPr>
        <w:t xml:space="preserve"> </w:t>
      </w:r>
    </w:p>
    <w:p w14:paraId="176FE344" w14:textId="38BB0EFB" w:rsidR="00902F37" w:rsidRPr="0063458D" w:rsidRDefault="00902F37" w:rsidP="00F705C6">
      <w:pPr>
        <w:pStyle w:val="ListParagraph"/>
        <w:numPr>
          <w:ilvl w:val="0"/>
          <w:numId w:val="1"/>
        </w:numPr>
        <w:rPr>
          <w:sz w:val="23"/>
          <w:szCs w:val="23"/>
        </w:rPr>
      </w:pPr>
      <w:r w:rsidRPr="0063458D">
        <w:rPr>
          <w:sz w:val="23"/>
          <w:szCs w:val="23"/>
        </w:rPr>
        <w:t xml:space="preserve">Including </w:t>
      </w:r>
      <w:r w:rsidR="00382D05">
        <w:rPr>
          <w:sz w:val="23"/>
          <w:szCs w:val="23"/>
        </w:rPr>
        <w:t>negative carbon intensities for avoided methane</w:t>
      </w:r>
      <w:r w:rsidRPr="0063458D">
        <w:rPr>
          <w:sz w:val="23"/>
          <w:szCs w:val="23"/>
        </w:rPr>
        <w:t xml:space="preserve"> could </w:t>
      </w:r>
      <w:r w:rsidR="00970A6B">
        <w:rPr>
          <w:sz w:val="23"/>
          <w:szCs w:val="23"/>
        </w:rPr>
        <w:t>make</w:t>
      </w:r>
      <w:r w:rsidRPr="0063458D">
        <w:rPr>
          <w:sz w:val="23"/>
          <w:szCs w:val="23"/>
        </w:rPr>
        <w:t xml:space="preserve"> electrification </w:t>
      </w:r>
      <w:r w:rsidR="005C2817">
        <w:rPr>
          <w:sz w:val="23"/>
          <w:szCs w:val="23"/>
        </w:rPr>
        <w:t xml:space="preserve">and weatherization </w:t>
      </w:r>
      <w:r w:rsidRPr="0063458D">
        <w:rPr>
          <w:sz w:val="23"/>
          <w:szCs w:val="23"/>
        </w:rPr>
        <w:t>pathways less competitive</w:t>
      </w:r>
      <w:r w:rsidR="005725ED" w:rsidRPr="0063458D">
        <w:rPr>
          <w:sz w:val="23"/>
          <w:szCs w:val="23"/>
        </w:rPr>
        <w:t xml:space="preserve"> with </w:t>
      </w:r>
      <w:r w:rsidR="00970A6B">
        <w:rPr>
          <w:sz w:val="23"/>
          <w:szCs w:val="23"/>
        </w:rPr>
        <w:t>RNG</w:t>
      </w:r>
      <w:r w:rsidR="005C2817">
        <w:rPr>
          <w:sz w:val="23"/>
          <w:szCs w:val="23"/>
        </w:rPr>
        <w:t>, even though those</w:t>
      </w:r>
      <w:r w:rsidR="003E4E28">
        <w:rPr>
          <w:sz w:val="23"/>
          <w:szCs w:val="23"/>
        </w:rPr>
        <w:t xml:space="preserve"> measures are more directly tied to Vermont’s thermal sector emissions than avoided methane releases</w:t>
      </w:r>
      <w:r w:rsidR="00970A6B">
        <w:rPr>
          <w:sz w:val="23"/>
          <w:szCs w:val="23"/>
        </w:rPr>
        <w:t xml:space="preserve"> from agriculture</w:t>
      </w:r>
      <w:r w:rsidR="003E4E28">
        <w:rPr>
          <w:sz w:val="23"/>
          <w:szCs w:val="23"/>
        </w:rPr>
        <w:t>.</w:t>
      </w:r>
    </w:p>
    <w:p w14:paraId="75919929" w14:textId="0851B94A" w:rsidR="00382D05" w:rsidRPr="00EB5F78" w:rsidRDefault="006721FE" w:rsidP="00F956C2">
      <w:pPr>
        <w:pStyle w:val="ListParagraph"/>
        <w:numPr>
          <w:ilvl w:val="0"/>
          <w:numId w:val="1"/>
        </w:numPr>
        <w:rPr>
          <w:sz w:val="23"/>
          <w:szCs w:val="23"/>
        </w:rPr>
      </w:pPr>
      <w:r>
        <w:rPr>
          <w:sz w:val="23"/>
          <w:szCs w:val="23"/>
        </w:rPr>
        <w:t xml:space="preserve">To the extent that the CHS program allows crediting for avoided emissions, the counterfactual </w:t>
      </w:r>
      <w:r w:rsidR="00313DEA">
        <w:rPr>
          <w:sz w:val="23"/>
          <w:szCs w:val="23"/>
        </w:rPr>
        <w:t xml:space="preserve">case </w:t>
      </w:r>
      <w:r>
        <w:rPr>
          <w:sz w:val="23"/>
          <w:szCs w:val="23"/>
        </w:rPr>
        <w:t xml:space="preserve">should be </w:t>
      </w:r>
      <w:r w:rsidRPr="00643F62">
        <w:rPr>
          <w:sz w:val="23"/>
          <w:szCs w:val="23"/>
        </w:rPr>
        <w:t>CO</w:t>
      </w:r>
      <w:r w:rsidRPr="00CE2F57">
        <w:rPr>
          <w:sz w:val="23"/>
          <w:szCs w:val="23"/>
          <w:vertAlign w:val="subscript"/>
        </w:rPr>
        <w:t>2</w:t>
      </w:r>
      <w:r w:rsidRPr="00643F62">
        <w:rPr>
          <w:sz w:val="23"/>
          <w:szCs w:val="23"/>
        </w:rPr>
        <w:t xml:space="preserve"> </w:t>
      </w:r>
      <w:r>
        <w:rPr>
          <w:sz w:val="23"/>
          <w:szCs w:val="23"/>
        </w:rPr>
        <w:t xml:space="preserve">rather than </w:t>
      </w:r>
      <w:r w:rsidRPr="00643F62">
        <w:rPr>
          <w:sz w:val="23"/>
          <w:szCs w:val="23"/>
        </w:rPr>
        <w:t>CH</w:t>
      </w:r>
      <w:r w:rsidRPr="00CE2F57">
        <w:rPr>
          <w:sz w:val="23"/>
          <w:szCs w:val="23"/>
          <w:vertAlign w:val="subscript"/>
        </w:rPr>
        <w:t>4</w:t>
      </w:r>
      <w:r w:rsidR="00313DEA">
        <w:rPr>
          <w:sz w:val="23"/>
          <w:szCs w:val="23"/>
        </w:rPr>
        <w:t xml:space="preserve"> emissions</w:t>
      </w:r>
      <w:r w:rsidR="00382D05">
        <w:rPr>
          <w:sz w:val="23"/>
          <w:szCs w:val="23"/>
        </w:rPr>
        <w:t>:</w:t>
      </w:r>
    </w:p>
    <w:p w14:paraId="23FC6484" w14:textId="3907524B" w:rsidR="00382D05" w:rsidRDefault="00EC6C71" w:rsidP="00EB5F78">
      <w:pPr>
        <w:pStyle w:val="ListParagraph"/>
        <w:numPr>
          <w:ilvl w:val="1"/>
          <w:numId w:val="1"/>
        </w:numPr>
        <w:spacing w:after="0"/>
        <w:rPr>
          <w:sz w:val="23"/>
          <w:szCs w:val="23"/>
        </w:rPr>
      </w:pPr>
      <w:r w:rsidRPr="00643F62">
        <w:rPr>
          <w:sz w:val="23"/>
          <w:szCs w:val="23"/>
        </w:rPr>
        <w:t>There is a</w:t>
      </w:r>
      <w:r>
        <w:rPr>
          <w:sz w:val="23"/>
          <w:szCs w:val="23"/>
        </w:rPr>
        <w:t>n active</w:t>
      </w:r>
      <w:r w:rsidRPr="00643F62">
        <w:rPr>
          <w:sz w:val="23"/>
          <w:szCs w:val="23"/>
        </w:rPr>
        <w:t xml:space="preserve"> debate about whether it is appropriate to assume that animal management systems are allowed to vent methane to the atmosphere. If these systems were required </w:t>
      </w:r>
      <w:r>
        <w:rPr>
          <w:sz w:val="23"/>
          <w:szCs w:val="23"/>
        </w:rPr>
        <w:t>to reduce their methane emissions (e.g. through covered lagoon digesters) and the resulting biogas was flared to destroy the methane</w:t>
      </w:r>
      <w:r w:rsidRPr="00643F62">
        <w:rPr>
          <w:sz w:val="23"/>
          <w:szCs w:val="23"/>
        </w:rPr>
        <w:t>, which is technically feasible where RNG production occurs, then the</w:t>
      </w:r>
      <w:r>
        <w:rPr>
          <w:sz w:val="23"/>
          <w:szCs w:val="23"/>
        </w:rPr>
        <w:t xml:space="preserve"> methane </w:t>
      </w:r>
      <w:r>
        <w:rPr>
          <w:sz w:val="23"/>
          <w:szCs w:val="23"/>
        </w:rPr>
        <w:lastRenderedPageBreak/>
        <w:t xml:space="preserve">would be converted </w:t>
      </w:r>
      <w:proofErr w:type="gramStart"/>
      <w:r>
        <w:rPr>
          <w:sz w:val="23"/>
          <w:szCs w:val="23"/>
        </w:rPr>
        <w:t xml:space="preserve">to </w:t>
      </w:r>
      <w:r w:rsidRPr="00643F62">
        <w:rPr>
          <w:sz w:val="23"/>
          <w:szCs w:val="23"/>
        </w:rPr>
        <w:t xml:space="preserve"> CO</w:t>
      </w:r>
      <w:r w:rsidRPr="00CE2F57">
        <w:rPr>
          <w:sz w:val="23"/>
          <w:szCs w:val="23"/>
          <w:vertAlign w:val="subscript"/>
        </w:rPr>
        <w:t>2</w:t>
      </w:r>
      <w:proofErr w:type="gramEnd"/>
      <w:r w:rsidRPr="00643F62">
        <w:rPr>
          <w:sz w:val="23"/>
          <w:szCs w:val="23"/>
        </w:rPr>
        <w:t xml:space="preserve"> emissions</w:t>
      </w:r>
      <w:r>
        <w:rPr>
          <w:sz w:val="23"/>
          <w:szCs w:val="23"/>
        </w:rPr>
        <w:t xml:space="preserve">, reducing its warming impact. In this case, </w:t>
      </w:r>
      <w:r w:rsidRPr="00643F62">
        <w:rPr>
          <w:sz w:val="23"/>
          <w:szCs w:val="23"/>
        </w:rPr>
        <w:t xml:space="preserve">the counterfactual scenario </w:t>
      </w:r>
      <w:r>
        <w:rPr>
          <w:sz w:val="23"/>
          <w:szCs w:val="23"/>
        </w:rPr>
        <w:t>would be CO</w:t>
      </w:r>
      <w:r w:rsidRPr="00575F14">
        <w:rPr>
          <w:sz w:val="23"/>
          <w:szCs w:val="23"/>
          <w:vertAlign w:val="subscript"/>
        </w:rPr>
        <w:t>2</w:t>
      </w:r>
      <w:r>
        <w:rPr>
          <w:sz w:val="23"/>
          <w:szCs w:val="23"/>
        </w:rPr>
        <w:t xml:space="preserve"> </w:t>
      </w:r>
      <w:r w:rsidRPr="00643F62">
        <w:rPr>
          <w:sz w:val="23"/>
          <w:szCs w:val="23"/>
        </w:rPr>
        <w:t>rather than CH</w:t>
      </w:r>
      <w:r w:rsidRPr="00CE2F57">
        <w:rPr>
          <w:sz w:val="23"/>
          <w:szCs w:val="23"/>
          <w:vertAlign w:val="subscript"/>
        </w:rPr>
        <w:t>4</w:t>
      </w:r>
      <w:r w:rsidRPr="00643F62">
        <w:rPr>
          <w:sz w:val="23"/>
          <w:szCs w:val="23"/>
        </w:rPr>
        <w:t xml:space="preserve"> emissions</w:t>
      </w:r>
      <w:r>
        <w:rPr>
          <w:sz w:val="23"/>
          <w:szCs w:val="23"/>
        </w:rPr>
        <w:t xml:space="preserve">, resulting in less negative and potentially positive carbon intensities.  A recent report from Argonne National Labs </w:t>
      </w:r>
      <w:r w:rsidRPr="00643F62">
        <w:rPr>
          <w:sz w:val="23"/>
          <w:szCs w:val="23"/>
        </w:rPr>
        <w:t>indicates that the GREET team is considering whether to change its assumptions about how to characterize counterfactual emissions from manure management systems to address this issue</w:t>
      </w:r>
      <w:r>
        <w:rPr>
          <w:sz w:val="23"/>
          <w:szCs w:val="23"/>
        </w:rPr>
        <w:t>.</w:t>
      </w:r>
      <w:r w:rsidR="00E350F7" w:rsidRPr="0063458D">
        <w:rPr>
          <w:rStyle w:val="FootnoteReference"/>
          <w:sz w:val="23"/>
          <w:szCs w:val="23"/>
        </w:rPr>
        <w:footnoteReference w:id="4"/>
      </w:r>
      <w:r w:rsidR="00A16C36" w:rsidRPr="00CE2F57">
        <w:rPr>
          <w:sz w:val="23"/>
          <w:szCs w:val="23"/>
        </w:rPr>
        <w:t xml:space="preserve"> </w:t>
      </w:r>
    </w:p>
    <w:p w14:paraId="6D336DCC" w14:textId="3ADE6CC7" w:rsidR="00A16C36" w:rsidRPr="00EB5F78" w:rsidRDefault="00C01B81" w:rsidP="00EB5F78">
      <w:pPr>
        <w:pStyle w:val="ListParagraph"/>
        <w:numPr>
          <w:ilvl w:val="1"/>
          <w:numId w:val="1"/>
        </w:numPr>
        <w:rPr>
          <w:sz w:val="23"/>
          <w:szCs w:val="23"/>
        </w:rPr>
      </w:pPr>
      <w:r w:rsidRPr="00EB5F78">
        <w:rPr>
          <w:sz w:val="23"/>
          <w:szCs w:val="23"/>
        </w:rPr>
        <w:t xml:space="preserve">Paying methane producers for their waste methane in effect pays polluters for producing pollution. As we think about aligning overall policy objectives with climate targets, it is likely that regulation will eventually be needed to require basic controls on pollution sources where it is technically feasible to do so, for example by requiring methane flaring at manure lagoons and landfills. However, if RNG facilities encode their right to emit methane </w:t>
      </w:r>
      <w:proofErr w:type="gramStart"/>
      <w:r w:rsidRPr="00EB5F78">
        <w:rPr>
          <w:sz w:val="23"/>
          <w:szCs w:val="23"/>
        </w:rPr>
        <w:t>in order to</w:t>
      </w:r>
      <w:proofErr w:type="gramEnd"/>
      <w:r w:rsidRPr="00EB5F78">
        <w:rPr>
          <w:sz w:val="23"/>
          <w:szCs w:val="23"/>
        </w:rPr>
        <w:t xml:space="preserve"> be paid for clean heat credits, they will have an incentive to oppose future methane regulations </w:t>
      </w:r>
      <w:r w:rsidR="00217B9A" w:rsidRPr="00EB5F78">
        <w:rPr>
          <w:sz w:val="23"/>
          <w:szCs w:val="23"/>
        </w:rPr>
        <w:t>that</w:t>
      </w:r>
      <w:r w:rsidRPr="00EB5F78">
        <w:rPr>
          <w:sz w:val="23"/>
          <w:szCs w:val="23"/>
        </w:rPr>
        <w:t xml:space="preserve"> would reduce their funding</w:t>
      </w:r>
      <w:r w:rsidR="00217B9A" w:rsidRPr="00EB5F78">
        <w:rPr>
          <w:sz w:val="23"/>
          <w:szCs w:val="23"/>
        </w:rPr>
        <w:t>.</w:t>
      </w:r>
    </w:p>
    <w:sectPr w:rsidR="00A16C36" w:rsidRPr="00EB5F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5437F" w14:textId="77777777" w:rsidR="006B6607" w:rsidRDefault="006B6607" w:rsidP="00334B31">
      <w:pPr>
        <w:spacing w:after="0" w:line="240" w:lineRule="auto"/>
      </w:pPr>
      <w:r>
        <w:separator/>
      </w:r>
    </w:p>
  </w:endnote>
  <w:endnote w:type="continuationSeparator" w:id="0">
    <w:p w14:paraId="31D0E3EA" w14:textId="77777777" w:rsidR="006B6607" w:rsidRDefault="006B6607" w:rsidP="00334B31">
      <w:pPr>
        <w:spacing w:after="0" w:line="240" w:lineRule="auto"/>
      </w:pPr>
      <w:r>
        <w:continuationSeparator/>
      </w:r>
    </w:p>
  </w:endnote>
  <w:endnote w:type="continuationNotice" w:id="1">
    <w:p w14:paraId="4597E54B" w14:textId="77777777" w:rsidR="006B6607" w:rsidRDefault="006B66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FE440" w14:textId="77777777" w:rsidR="006B6607" w:rsidRDefault="006B6607" w:rsidP="00334B31">
      <w:pPr>
        <w:spacing w:after="0" w:line="240" w:lineRule="auto"/>
      </w:pPr>
      <w:r>
        <w:separator/>
      </w:r>
    </w:p>
  </w:footnote>
  <w:footnote w:type="continuationSeparator" w:id="0">
    <w:p w14:paraId="0D95086F" w14:textId="77777777" w:rsidR="006B6607" w:rsidRDefault="006B6607" w:rsidP="00334B31">
      <w:pPr>
        <w:spacing w:after="0" w:line="240" w:lineRule="auto"/>
      </w:pPr>
      <w:r>
        <w:continuationSeparator/>
      </w:r>
    </w:p>
  </w:footnote>
  <w:footnote w:type="continuationNotice" w:id="1">
    <w:p w14:paraId="764EAACF" w14:textId="77777777" w:rsidR="006B6607" w:rsidRDefault="006B6607">
      <w:pPr>
        <w:spacing w:after="0" w:line="240" w:lineRule="auto"/>
      </w:pPr>
    </w:p>
  </w:footnote>
  <w:footnote w:id="2">
    <w:p w14:paraId="2E98DA38" w14:textId="77777777" w:rsidR="009A076A" w:rsidRDefault="009A076A" w:rsidP="009A076A">
      <w:pPr>
        <w:pStyle w:val="FootnoteText"/>
      </w:pPr>
      <w:r>
        <w:rPr>
          <w:rStyle w:val="FootnoteReference"/>
        </w:rPr>
        <w:footnoteRef/>
      </w:r>
      <w:r>
        <w:t xml:space="preserve"> Ou, </w:t>
      </w:r>
      <w:proofErr w:type="spellStart"/>
      <w:r>
        <w:t>Logwen</w:t>
      </w:r>
      <w:proofErr w:type="spellEnd"/>
      <w:r>
        <w:t xml:space="preserve">, Hao Cai, Michael Wang, “Life-Cycle Greenhous Gas Results of Fuels from Waste Streams and Biomass with the R&amp;D GREET Model,” Argonne National Laboratory, September 11, 2024, at </w:t>
      </w:r>
      <w:r w:rsidRPr="00F56537">
        <w:t>chrome-extension://efaidnbmnnnibpcajpcglclefindmkaj/https://www.gti.energy/wp-content/uploads/2024/09/39-tcbiomass2024-Presentation-Longwen-Ou.pdf</w:t>
      </w:r>
      <w:r>
        <w:t>.</w:t>
      </w:r>
    </w:p>
  </w:footnote>
  <w:footnote w:id="3">
    <w:p w14:paraId="25F7D6C0" w14:textId="37D563CB" w:rsidR="00EC6C71" w:rsidRDefault="00EC6C71" w:rsidP="00EC6C71">
      <w:pPr>
        <w:pStyle w:val="FootnoteText"/>
      </w:pPr>
      <w:r>
        <w:rPr>
          <w:rStyle w:val="FootnoteReference"/>
        </w:rPr>
        <w:footnoteRef/>
      </w:r>
      <w:r>
        <w:t xml:space="preserve"> CARB LCFS regulation Section 95488.9(f).  Pg. 143.  Available at: </w:t>
      </w:r>
      <w:r w:rsidRPr="00E56A99">
        <w:t>https://ww2.arb.ca.gov/sites/default/files/2020-07/2020_lcfs_fro_oal-approved_unofficial_06302020.pdf</w:t>
      </w:r>
      <w:r>
        <w:t>.</w:t>
      </w:r>
    </w:p>
  </w:footnote>
  <w:footnote w:id="4">
    <w:p w14:paraId="5960D96A" w14:textId="51C3EEA9" w:rsidR="00E350F7" w:rsidRDefault="00E350F7" w:rsidP="00C46149">
      <w:pPr>
        <w:pStyle w:val="FootnoteText"/>
      </w:pPr>
      <w:r>
        <w:rPr>
          <w:rStyle w:val="FootnoteReference"/>
        </w:rPr>
        <w:footnoteRef/>
      </w:r>
      <w:r>
        <w:t xml:space="preserve"> </w:t>
      </w:r>
      <w:r w:rsidR="00C46149">
        <w:t xml:space="preserve">Argonne National Laboratory, </w:t>
      </w:r>
      <w:r w:rsidR="00F56537">
        <w:t>“</w:t>
      </w:r>
      <w:r w:rsidR="00C46149">
        <w:t>Summary of Expansions and Updates in R&amp;D GREET® 2023,</w:t>
      </w:r>
      <w:r w:rsidR="00F56537">
        <w:t>”</w:t>
      </w:r>
      <w:r w:rsidR="00C46149">
        <w:t xml:space="preserve"> </w:t>
      </w:r>
      <w:r w:rsidR="0040567C" w:rsidRPr="0040567C">
        <w:t>Section 2.1.4</w:t>
      </w:r>
      <w:r w:rsidR="0040567C">
        <w:t>,</w:t>
      </w:r>
      <w:r w:rsidR="00F56537">
        <w:t xml:space="preserve"> December 2023, </w:t>
      </w:r>
      <w:r w:rsidR="0040567C" w:rsidRPr="0040567C">
        <w:t>pages 5-6</w:t>
      </w:r>
      <w:r w:rsidR="00747BB9">
        <w:t>, at</w:t>
      </w:r>
      <w:r w:rsidR="0040567C">
        <w:t xml:space="preserve"> </w:t>
      </w:r>
      <w:hyperlink r:id="rId1" w:history="1">
        <w:r w:rsidR="0040567C" w:rsidRPr="0040567C">
          <w:rPr>
            <w:rStyle w:val="Hyperlink"/>
          </w:rPr>
          <w:t>https://www.osti.gov/servlets/purl/2278803</w:t>
        </w:r>
      </w:hyperlink>
      <w:r w:rsidR="0040567C">
        <w:rPr>
          <w:rStyle w:val="Hyperlink"/>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BB24F6"/>
    <w:multiLevelType w:val="hybridMultilevel"/>
    <w:tmpl w:val="43822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676685"/>
    <w:multiLevelType w:val="hybridMultilevel"/>
    <w:tmpl w:val="4C66702E"/>
    <w:lvl w:ilvl="0" w:tplc="3CB6969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0846372">
    <w:abstractNumId w:val="1"/>
  </w:num>
  <w:num w:numId="2" w16cid:durableId="450976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027"/>
    <w:rsid w:val="00012D41"/>
    <w:rsid w:val="00057CFC"/>
    <w:rsid w:val="0007206F"/>
    <w:rsid w:val="00080579"/>
    <w:rsid w:val="0008568A"/>
    <w:rsid w:val="00086C24"/>
    <w:rsid w:val="000959C6"/>
    <w:rsid w:val="000A2BC4"/>
    <w:rsid w:val="000A5097"/>
    <w:rsid w:val="00101E54"/>
    <w:rsid w:val="0012374D"/>
    <w:rsid w:val="001837B5"/>
    <w:rsid w:val="001A35DD"/>
    <w:rsid w:val="00215738"/>
    <w:rsid w:val="00217B9A"/>
    <w:rsid w:val="00227A4B"/>
    <w:rsid w:val="002321FE"/>
    <w:rsid w:val="00235EB0"/>
    <w:rsid w:val="00240A2C"/>
    <w:rsid w:val="00263CE0"/>
    <w:rsid w:val="00266D69"/>
    <w:rsid w:val="002779F7"/>
    <w:rsid w:val="0029270E"/>
    <w:rsid w:val="00297DC2"/>
    <w:rsid w:val="002E4D73"/>
    <w:rsid w:val="00313443"/>
    <w:rsid w:val="00313DEA"/>
    <w:rsid w:val="0032084F"/>
    <w:rsid w:val="00334B31"/>
    <w:rsid w:val="003448A3"/>
    <w:rsid w:val="003554C6"/>
    <w:rsid w:val="00356E4D"/>
    <w:rsid w:val="00374A1E"/>
    <w:rsid w:val="00382D05"/>
    <w:rsid w:val="003A4903"/>
    <w:rsid w:val="003A7B03"/>
    <w:rsid w:val="003E4E28"/>
    <w:rsid w:val="0040567C"/>
    <w:rsid w:val="0041172D"/>
    <w:rsid w:val="00413F47"/>
    <w:rsid w:val="00415F44"/>
    <w:rsid w:val="00434A93"/>
    <w:rsid w:val="0043707E"/>
    <w:rsid w:val="00443741"/>
    <w:rsid w:val="00453E51"/>
    <w:rsid w:val="00484607"/>
    <w:rsid w:val="0049103E"/>
    <w:rsid w:val="0049359D"/>
    <w:rsid w:val="004A2027"/>
    <w:rsid w:val="004B26DE"/>
    <w:rsid w:val="004C3532"/>
    <w:rsid w:val="004D2652"/>
    <w:rsid w:val="00512653"/>
    <w:rsid w:val="005138B4"/>
    <w:rsid w:val="00515BE4"/>
    <w:rsid w:val="00532A8F"/>
    <w:rsid w:val="00542AAC"/>
    <w:rsid w:val="005725ED"/>
    <w:rsid w:val="005849F2"/>
    <w:rsid w:val="00594462"/>
    <w:rsid w:val="00595829"/>
    <w:rsid w:val="0059624A"/>
    <w:rsid w:val="00597A9C"/>
    <w:rsid w:val="005A26C4"/>
    <w:rsid w:val="005C2817"/>
    <w:rsid w:val="005E7581"/>
    <w:rsid w:val="005F2C42"/>
    <w:rsid w:val="00614D67"/>
    <w:rsid w:val="00616410"/>
    <w:rsid w:val="00622A4E"/>
    <w:rsid w:val="00634238"/>
    <w:rsid w:val="0063458D"/>
    <w:rsid w:val="00643F62"/>
    <w:rsid w:val="006721FE"/>
    <w:rsid w:val="0067678A"/>
    <w:rsid w:val="006A7447"/>
    <w:rsid w:val="006B6607"/>
    <w:rsid w:val="006C1049"/>
    <w:rsid w:val="006D09BB"/>
    <w:rsid w:val="00711818"/>
    <w:rsid w:val="00716ED1"/>
    <w:rsid w:val="0072603D"/>
    <w:rsid w:val="00730A0D"/>
    <w:rsid w:val="00747BB9"/>
    <w:rsid w:val="00775DEA"/>
    <w:rsid w:val="00793BC1"/>
    <w:rsid w:val="007A43F2"/>
    <w:rsid w:val="007A5BEF"/>
    <w:rsid w:val="007B2D2E"/>
    <w:rsid w:val="007D1241"/>
    <w:rsid w:val="007F3D91"/>
    <w:rsid w:val="007F622B"/>
    <w:rsid w:val="00801049"/>
    <w:rsid w:val="0080699A"/>
    <w:rsid w:val="00815A76"/>
    <w:rsid w:val="00815C8F"/>
    <w:rsid w:val="00816F58"/>
    <w:rsid w:val="0082287F"/>
    <w:rsid w:val="00826ED1"/>
    <w:rsid w:val="008404E6"/>
    <w:rsid w:val="008459B7"/>
    <w:rsid w:val="00855B38"/>
    <w:rsid w:val="008605C0"/>
    <w:rsid w:val="0086275A"/>
    <w:rsid w:val="00877DB3"/>
    <w:rsid w:val="00891342"/>
    <w:rsid w:val="008960DE"/>
    <w:rsid w:val="00897AEE"/>
    <w:rsid w:val="008C3290"/>
    <w:rsid w:val="008C3CE8"/>
    <w:rsid w:val="008C493A"/>
    <w:rsid w:val="008E181B"/>
    <w:rsid w:val="00902F37"/>
    <w:rsid w:val="00906ABF"/>
    <w:rsid w:val="00926314"/>
    <w:rsid w:val="00953125"/>
    <w:rsid w:val="00962652"/>
    <w:rsid w:val="00963B32"/>
    <w:rsid w:val="00965091"/>
    <w:rsid w:val="00970A6B"/>
    <w:rsid w:val="00983723"/>
    <w:rsid w:val="00985A8B"/>
    <w:rsid w:val="009A076A"/>
    <w:rsid w:val="009A35BC"/>
    <w:rsid w:val="009A375F"/>
    <w:rsid w:val="009A488E"/>
    <w:rsid w:val="009B1CE1"/>
    <w:rsid w:val="009C0395"/>
    <w:rsid w:val="009C2C43"/>
    <w:rsid w:val="009D574F"/>
    <w:rsid w:val="009D6C82"/>
    <w:rsid w:val="009E2B9B"/>
    <w:rsid w:val="009E2CFD"/>
    <w:rsid w:val="009E58A1"/>
    <w:rsid w:val="00A029E0"/>
    <w:rsid w:val="00A07485"/>
    <w:rsid w:val="00A140EF"/>
    <w:rsid w:val="00A16C36"/>
    <w:rsid w:val="00A43492"/>
    <w:rsid w:val="00A4669E"/>
    <w:rsid w:val="00A47D29"/>
    <w:rsid w:val="00A76975"/>
    <w:rsid w:val="00AA7F9F"/>
    <w:rsid w:val="00AB56FF"/>
    <w:rsid w:val="00AD1ABE"/>
    <w:rsid w:val="00AD2BBD"/>
    <w:rsid w:val="00AE485D"/>
    <w:rsid w:val="00B16437"/>
    <w:rsid w:val="00B36B70"/>
    <w:rsid w:val="00B36F52"/>
    <w:rsid w:val="00B64B79"/>
    <w:rsid w:val="00B64E33"/>
    <w:rsid w:val="00B654C0"/>
    <w:rsid w:val="00B743D2"/>
    <w:rsid w:val="00B74F97"/>
    <w:rsid w:val="00B90091"/>
    <w:rsid w:val="00BC74DB"/>
    <w:rsid w:val="00BC7912"/>
    <w:rsid w:val="00BF108A"/>
    <w:rsid w:val="00BF1A88"/>
    <w:rsid w:val="00C01B81"/>
    <w:rsid w:val="00C10676"/>
    <w:rsid w:val="00C1480B"/>
    <w:rsid w:val="00C46149"/>
    <w:rsid w:val="00C46A41"/>
    <w:rsid w:val="00C47DF5"/>
    <w:rsid w:val="00C77BE6"/>
    <w:rsid w:val="00C82EE5"/>
    <w:rsid w:val="00C95BBF"/>
    <w:rsid w:val="00CA7412"/>
    <w:rsid w:val="00CD25B5"/>
    <w:rsid w:val="00CE2F57"/>
    <w:rsid w:val="00CF2F8E"/>
    <w:rsid w:val="00D07644"/>
    <w:rsid w:val="00D07894"/>
    <w:rsid w:val="00D12B9E"/>
    <w:rsid w:val="00D3343E"/>
    <w:rsid w:val="00DB5331"/>
    <w:rsid w:val="00DC4983"/>
    <w:rsid w:val="00DC6C21"/>
    <w:rsid w:val="00DD4136"/>
    <w:rsid w:val="00E01C37"/>
    <w:rsid w:val="00E25D47"/>
    <w:rsid w:val="00E350F7"/>
    <w:rsid w:val="00E54F71"/>
    <w:rsid w:val="00E65C5F"/>
    <w:rsid w:val="00E75A98"/>
    <w:rsid w:val="00E809B2"/>
    <w:rsid w:val="00E820DB"/>
    <w:rsid w:val="00E85993"/>
    <w:rsid w:val="00E90F07"/>
    <w:rsid w:val="00E96D43"/>
    <w:rsid w:val="00EA5521"/>
    <w:rsid w:val="00EB2938"/>
    <w:rsid w:val="00EB5F78"/>
    <w:rsid w:val="00EC6C71"/>
    <w:rsid w:val="00ED3BB2"/>
    <w:rsid w:val="00ED73E7"/>
    <w:rsid w:val="00EF4AB4"/>
    <w:rsid w:val="00F06471"/>
    <w:rsid w:val="00F06990"/>
    <w:rsid w:val="00F27FE2"/>
    <w:rsid w:val="00F42659"/>
    <w:rsid w:val="00F42C7D"/>
    <w:rsid w:val="00F4529D"/>
    <w:rsid w:val="00F51068"/>
    <w:rsid w:val="00F56537"/>
    <w:rsid w:val="00F705C6"/>
    <w:rsid w:val="00F779CB"/>
    <w:rsid w:val="00F84F2C"/>
    <w:rsid w:val="00F87ED6"/>
    <w:rsid w:val="00F956C2"/>
    <w:rsid w:val="00F97E09"/>
    <w:rsid w:val="00FE0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F7BB0"/>
  <w15:chartTrackingRefBased/>
  <w15:docId w15:val="{E1B9994D-F0B0-4E7D-B2B3-91ED60DA0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20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20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20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20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20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20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20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20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20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0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20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20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20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20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20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20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20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2027"/>
    <w:rPr>
      <w:rFonts w:eastAsiaTheme="majorEastAsia" w:cstheme="majorBidi"/>
      <w:color w:val="272727" w:themeColor="text1" w:themeTint="D8"/>
    </w:rPr>
  </w:style>
  <w:style w:type="paragraph" w:styleId="Title">
    <w:name w:val="Title"/>
    <w:basedOn w:val="Normal"/>
    <w:next w:val="Normal"/>
    <w:link w:val="TitleChar"/>
    <w:uiPriority w:val="10"/>
    <w:qFormat/>
    <w:rsid w:val="004A20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20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20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20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2027"/>
    <w:pPr>
      <w:spacing w:before="160"/>
      <w:jc w:val="center"/>
    </w:pPr>
    <w:rPr>
      <w:i/>
      <w:iCs/>
      <w:color w:val="404040" w:themeColor="text1" w:themeTint="BF"/>
    </w:rPr>
  </w:style>
  <w:style w:type="character" w:customStyle="1" w:styleId="QuoteChar">
    <w:name w:val="Quote Char"/>
    <w:basedOn w:val="DefaultParagraphFont"/>
    <w:link w:val="Quote"/>
    <w:uiPriority w:val="29"/>
    <w:rsid w:val="004A2027"/>
    <w:rPr>
      <w:i/>
      <w:iCs/>
      <w:color w:val="404040" w:themeColor="text1" w:themeTint="BF"/>
    </w:rPr>
  </w:style>
  <w:style w:type="paragraph" w:styleId="ListParagraph">
    <w:name w:val="List Paragraph"/>
    <w:basedOn w:val="Normal"/>
    <w:uiPriority w:val="34"/>
    <w:qFormat/>
    <w:rsid w:val="004A2027"/>
    <w:pPr>
      <w:ind w:left="720"/>
      <w:contextualSpacing/>
    </w:pPr>
  </w:style>
  <w:style w:type="character" w:styleId="IntenseEmphasis">
    <w:name w:val="Intense Emphasis"/>
    <w:basedOn w:val="DefaultParagraphFont"/>
    <w:uiPriority w:val="21"/>
    <w:qFormat/>
    <w:rsid w:val="004A2027"/>
    <w:rPr>
      <w:i/>
      <w:iCs/>
      <w:color w:val="0F4761" w:themeColor="accent1" w:themeShade="BF"/>
    </w:rPr>
  </w:style>
  <w:style w:type="paragraph" w:styleId="IntenseQuote">
    <w:name w:val="Intense Quote"/>
    <w:basedOn w:val="Normal"/>
    <w:next w:val="Normal"/>
    <w:link w:val="IntenseQuoteChar"/>
    <w:uiPriority w:val="30"/>
    <w:qFormat/>
    <w:rsid w:val="004A20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2027"/>
    <w:rPr>
      <w:i/>
      <w:iCs/>
      <w:color w:val="0F4761" w:themeColor="accent1" w:themeShade="BF"/>
    </w:rPr>
  </w:style>
  <w:style w:type="character" w:styleId="IntenseReference">
    <w:name w:val="Intense Reference"/>
    <w:basedOn w:val="DefaultParagraphFont"/>
    <w:uiPriority w:val="32"/>
    <w:qFormat/>
    <w:rsid w:val="004A2027"/>
    <w:rPr>
      <w:b/>
      <w:bCs/>
      <w:smallCaps/>
      <w:color w:val="0F4761" w:themeColor="accent1" w:themeShade="BF"/>
      <w:spacing w:val="5"/>
    </w:rPr>
  </w:style>
  <w:style w:type="paragraph" w:styleId="Revision">
    <w:name w:val="Revision"/>
    <w:hidden/>
    <w:uiPriority w:val="99"/>
    <w:semiHidden/>
    <w:rsid w:val="00902F37"/>
    <w:pPr>
      <w:spacing w:after="0" w:line="240" w:lineRule="auto"/>
    </w:pPr>
  </w:style>
  <w:style w:type="paragraph" w:styleId="FootnoteText">
    <w:name w:val="footnote text"/>
    <w:basedOn w:val="Normal"/>
    <w:link w:val="FootnoteTextChar"/>
    <w:uiPriority w:val="99"/>
    <w:semiHidden/>
    <w:unhideWhenUsed/>
    <w:rsid w:val="00334B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B31"/>
    <w:rPr>
      <w:sz w:val="20"/>
      <w:szCs w:val="20"/>
    </w:rPr>
  </w:style>
  <w:style w:type="character" w:styleId="FootnoteReference">
    <w:name w:val="footnote reference"/>
    <w:basedOn w:val="DefaultParagraphFont"/>
    <w:uiPriority w:val="99"/>
    <w:semiHidden/>
    <w:unhideWhenUsed/>
    <w:rsid w:val="00334B31"/>
    <w:rPr>
      <w:vertAlign w:val="superscript"/>
    </w:rPr>
  </w:style>
  <w:style w:type="character" w:styleId="Hyperlink">
    <w:name w:val="Hyperlink"/>
    <w:basedOn w:val="DefaultParagraphFont"/>
    <w:uiPriority w:val="99"/>
    <w:unhideWhenUsed/>
    <w:rsid w:val="00963B32"/>
    <w:rPr>
      <w:color w:val="467886" w:themeColor="hyperlink"/>
      <w:u w:val="single"/>
    </w:rPr>
  </w:style>
  <w:style w:type="character" w:styleId="UnresolvedMention">
    <w:name w:val="Unresolved Mention"/>
    <w:basedOn w:val="DefaultParagraphFont"/>
    <w:uiPriority w:val="99"/>
    <w:semiHidden/>
    <w:unhideWhenUsed/>
    <w:rsid w:val="00963B32"/>
    <w:rPr>
      <w:color w:val="605E5C"/>
      <w:shd w:val="clear" w:color="auto" w:fill="E1DFDD"/>
    </w:rPr>
  </w:style>
  <w:style w:type="character" w:styleId="CommentReference">
    <w:name w:val="annotation reference"/>
    <w:basedOn w:val="DefaultParagraphFont"/>
    <w:uiPriority w:val="99"/>
    <w:semiHidden/>
    <w:unhideWhenUsed/>
    <w:rsid w:val="002E4D73"/>
    <w:rPr>
      <w:sz w:val="16"/>
      <w:szCs w:val="16"/>
    </w:rPr>
  </w:style>
  <w:style w:type="paragraph" w:styleId="CommentText">
    <w:name w:val="annotation text"/>
    <w:basedOn w:val="Normal"/>
    <w:link w:val="CommentTextChar"/>
    <w:uiPriority w:val="99"/>
    <w:unhideWhenUsed/>
    <w:rsid w:val="002E4D73"/>
    <w:pPr>
      <w:spacing w:line="240" w:lineRule="auto"/>
    </w:pPr>
    <w:rPr>
      <w:sz w:val="20"/>
      <w:szCs w:val="20"/>
    </w:rPr>
  </w:style>
  <w:style w:type="character" w:customStyle="1" w:styleId="CommentTextChar">
    <w:name w:val="Comment Text Char"/>
    <w:basedOn w:val="DefaultParagraphFont"/>
    <w:link w:val="CommentText"/>
    <w:uiPriority w:val="99"/>
    <w:rsid w:val="002E4D73"/>
    <w:rPr>
      <w:sz w:val="20"/>
      <w:szCs w:val="20"/>
    </w:rPr>
  </w:style>
  <w:style w:type="paragraph" w:styleId="CommentSubject">
    <w:name w:val="annotation subject"/>
    <w:basedOn w:val="CommentText"/>
    <w:next w:val="CommentText"/>
    <w:link w:val="CommentSubjectChar"/>
    <w:uiPriority w:val="99"/>
    <w:semiHidden/>
    <w:unhideWhenUsed/>
    <w:rsid w:val="002E4D73"/>
    <w:rPr>
      <w:b/>
      <w:bCs/>
    </w:rPr>
  </w:style>
  <w:style w:type="character" w:customStyle="1" w:styleId="CommentSubjectChar">
    <w:name w:val="Comment Subject Char"/>
    <w:basedOn w:val="CommentTextChar"/>
    <w:link w:val="CommentSubject"/>
    <w:uiPriority w:val="99"/>
    <w:semiHidden/>
    <w:rsid w:val="002E4D73"/>
    <w:rPr>
      <w:b/>
      <w:bCs/>
      <w:sz w:val="20"/>
      <w:szCs w:val="20"/>
    </w:rPr>
  </w:style>
  <w:style w:type="paragraph" w:styleId="Header">
    <w:name w:val="header"/>
    <w:basedOn w:val="Normal"/>
    <w:link w:val="HeaderChar"/>
    <w:uiPriority w:val="99"/>
    <w:semiHidden/>
    <w:unhideWhenUsed/>
    <w:rsid w:val="009531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3125"/>
  </w:style>
  <w:style w:type="paragraph" w:styleId="Footer">
    <w:name w:val="footer"/>
    <w:basedOn w:val="Normal"/>
    <w:link w:val="FooterChar"/>
    <w:uiPriority w:val="99"/>
    <w:semiHidden/>
    <w:unhideWhenUsed/>
    <w:rsid w:val="0095312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3125"/>
  </w:style>
  <w:style w:type="character" w:styleId="FollowedHyperlink">
    <w:name w:val="FollowedHyperlink"/>
    <w:basedOn w:val="DefaultParagraphFont"/>
    <w:uiPriority w:val="99"/>
    <w:semiHidden/>
    <w:unhideWhenUsed/>
    <w:rsid w:val="0040567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680041">
      <w:bodyDiv w:val="1"/>
      <w:marLeft w:val="0"/>
      <w:marRight w:val="0"/>
      <w:marTop w:val="0"/>
      <w:marBottom w:val="0"/>
      <w:divBdr>
        <w:top w:val="none" w:sz="0" w:space="0" w:color="auto"/>
        <w:left w:val="none" w:sz="0" w:space="0" w:color="auto"/>
        <w:bottom w:val="none" w:sz="0" w:space="0" w:color="auto"/>
        <w:right w:val="none" w:sz="0" w:space="0" w:color="auto"/>
      </w:divBdr>
    </w:div>
    <w:div w:id="429937235">
      <w:bodyDiv w:val="1"/>
      <w:marLeft w:val="0"/>
      <w:marRight w:val="0"/>
      <w:marTop w:val="0"/>
      <w:marBottom w:val="0"/>
      <w:divBdr>
        <w:top w:val="none" w:sz="0" w:space="0" w:color="auto"/>
        <w:left w:val="none" w:sz="0" w:space="0" w:color="auto"/>
        <w:bottom w:val="none" w:sz="0" w:space="0" w:color="auto"/>
        <w:right w:val="none" w:sz="0" w:space="0" w:color="auto"/>
      </w:divBdr>
    </w:div>
    <w:div w:id="1184712196">
      <w:bodyDiv w:val="1"/>
      <w:marLeft w:val="0"/>
      <w:marRight w:val="0"/>
      <w:marTop w:val="0"/>
      <w:marBottom w:val="0"/>
      <w:divBdr>
        <w:top w:val="none" w:sz="0" w:space="0" w:color="auto"/>
        <w:left w:val="none" w:sz="0" w:space="0" w:color="auto"/>
        <w:bottom w:val="none" w:sz="0" w:space="0" w:color="auto"/>
        <w:right w:val="none" w:sz="0" w:space="0" w:color="auto"/>
      </w:divBdr>
    </w:div>
    <w:div w:id="1328826416">
      <w:bodyDiv w:val="1"/>
      <w:marLeft w:val="0"/>
      <w:marRight w:val="0"/>
      <w:marTop w:val="0"/>
      <w:marBottom w:val="0"/>
      <w:divBdr>
        <w:top w:val="none" w:sz="0" w:space="0" w:color="auto"/>
        <w:left w:val="none" w:sz="0" w:space="0" w:color="auto"/>
        <w:bottom w:val="none" w:sz="0" w:space="0" w:color="auto"/>
        <w:right w:val="none" w:sz="0" w:space="0" w:color="auto"/>
      </w:divBdr>
    </w:div>
    <w:div w:id="1960145687">
      <w:bodyDiv w:val="1"/>
      <w:marLeft w:val="0"/>
      <w:marRight w:val="0"/>
      <w:marTop w:val="0"/>
      <w:marBottom w:val="0"/>
      <w:divBdr>
        <w:top w:val="none" w:sz="0" w:space="0" w:color="auto"/>
        <w:left w:val="none" w:sz="0" w:space="0" w:color="auto"/>
        <w:bottom w:val="none" w:sz="0" w:space="0" w:color="auto"/>
        <w:right w:val="none" w:sz="0" w:space="0" w:color="auto"/>
      </w:divBdr>
    </w:div>
    <w:div w:id="2073892681">
      <w:bodyDiv w:val="1"/>
      <w:marLeft w:val="0"/>
      <w:marRight w:val="0"/>
      <w:marTop w:val="0"/>
      <w:marBottom w:val="0"/>
      <w:divBdr>
        <w:top w:val="none" w:sz="0" w:space="0" w:color="auto"/>
        <w:left w:val="none" w:sz="0" w:space="0" w:color="auto"/>
        <w:bottom w:val="none" w:sz="0" w:space="0" w:color="auto"/>
        <w:right w:val="none" w:sz="0" w:space="0" w:color="auto"/>
      </w:divBdr>
    </w:div>
    <w:div w:id="2115861589">
      <w:bodyDiv w:val="1"/>
      <w:marLeft w:val="0"/>
      <w:marRight w:val="0"/>
      <w:marTop w:val="0"/>
      <w:marBottom w:val="0"/>
      <w:divBdr>
        <w:top w:val="none" w:sz="0" w:space="0" w:color="auto"/>
        <w:left w:val="none" w:sz="0" w:space="0" w:color="auto"/>
        <w:bottom w:val="none" w:sz="0" w:space="0" w:color="auto"/>
        <w:right w:val="none" w:sz="0" w:space="0" w:color="auto"/>
      </w:divBdr>
    </w:div>
    <w:div w:id="212507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osti.gov/servlets/purl/22788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CDDE91DC93241B534329C5C558FF0" ma:contentTypeVersion="16" ma:contentTypeDescription="Create a new document." ma:contentTypeScope="" ma:versionID="a40a1ca32f631c168870cd839ee6ce97">
  <xsd:schema xmlns:xsd="http://www.w3.org/2001/XMLSchema" xmlns:xs="http://www.w3.org/2001/XMLSchema" xmlns:p="http://schemas.microsoft.com/office/2006/metadata/properties" xmlns:ns2="de5b7575-6970-4123-9b3d-ce42a5bdb4a7" xmlns:ns3="4c800a8d-541a-4bfe-958f-7480bbd87280" targetNamespace="http://schemas.microsoft.com/office/2006/metadata/properties" ma:root="true" ma:fieldsID="5665edd9375cd4ce2dee868e6409dd6c" ns2:_="" ns3:_="">
    <xsd:import namespace="de5b7575-6970-4123-9b3d-ce42a5bdb4a7"/>
    <xsd:import namespace="4c800a8d-541a-4bfe-958f-7480bbd872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b7575-6970-4123-9b3d-ce42a5bdb4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c89c3ad-d0ae-4b22-aff5-79af7a3dbe7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800a8d-541a-4bfe-958f-7480bbd8728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9071022e-3e19-4134-be24-49d5672793fc}" ma:internalName="TaxCatchAll" ma:showField="CatchAllData" ma:web="4c800a8d-541a-4bfe-958f-7480bbd8728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5b7575-6970-4123-9b3d-ce42a5bdb4a7">
      <Terms xmlns="http://schemas.microsoft.com/office/infopath/2007/PartnerControls"/>
    </lcf76f155ced4ddcb4097134ff3c332f>
    <TaxCatchAll xmlns="4c800a8d-541a-4bfe-958f-7480bbd8728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2AAFB-E039-4155-9DEB-778B7D19A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b7575-6970-4123-9b3d-ce42a5bdb4a7"/>
    <ds:schemaRef ds:uri="4c800a8d-541a-4bfe-958f-7480bbd872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CB6029-7304-4B14-A70D-A6C84B3A6233}">
  <ds:schemaRefs>
    <ds:schemaRef ds:uri="http://schemas.microsoft.com/office/2006/metadata/properties"/>
    <ds:schemaRef ds:uri="http://schemas.microsoft.com/office/infopath/2007/PartnerControls"/>
    <ds:schemaRef ds:uri="de5b7575-6970-4123-9b3d-ce42a5bdb4a7"/>
    <ds:schemaRef ds:uri="4c800a8d-541a-4bfe-958f-7480bbd87280"/>
  </ds:schemaRefs>
</ds:datastoreItem>
</file>

<file path=customXml/itemProps3.xml><?xml version="1.0" encoding="utf-8"?>
<ds:datastoreItem xmlns:ds="http://schemas.openxmlformats.org/officeDocument/2006/customXml" ds:itemID="{DBDD83E8-2C90-4914-B870-0E723B7C5980}">
  <ds:schemaRefs>
    <ds:schemaRef ds:uri="http://schemas.microsoft.com/sharepoint/v3/contenttype/forms"/>
  </ds:schemaRefs>
</ds:datastoreItem>
</file>

<file path=customXml/itemProps4.xml><?xml version="1.0" encoding="utf-8"?>
<ds:datastoreItem xmlns:ds="http://schemas.openxmlformats.org/officeDocument/2006/customXml" ds:itemID="{91939556-F92C-42B0-84A5-020D53D09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1870</Words>
  <Characters>10043</Characters>
  <Application>Microsoft Office Word</Application>
  <DocSecurity>0</DocSecurity>
  <Lines>164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Lehr</dc:creator>
  <cp:keywords/>
  <dc:description/>
  <cp:lastModifiedBy>Rick Weston</cp:lastModifiedBy>
  <cp:revision>2</cp:revision>
  <dcterms:created xsi:type="dcterms:W3CDTF">2024-10-25T20:48:00Z</dcterms:created>
  <dcterms:modified xsi:type="dcterms:W3CDTF">2024-10-25T20:48:00Z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0x010100011CDDE91DC93241B534329C5C558FF0</vt:lpwstr>
  </property>
  <property fmtid="{D5CDD505-2E9C-101B-9397-08002B2CF9AE}" pid="3" name="MediaServiceImageTags">
    <vt:lpwstr/>
  </property>
</Properties>
</file>