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4672A" w14:textId="439F6175" w:rsidR="00BE7804" w:rsidRDefault="00631614" w:rsidP="006A735C">
      <w:pPr>
        <w:jc w:val="center"/>
      </w:pPr>
      <w:r>
        <w:t>Treatment of Land Use Change</w:t>
      </w:r>
      <w:r w:rsidR="006A735C">
        <w:t xml:space="preserve"> in the CHS</w:t>
      </w:r>
    </w:p>
    <w:p w14:paraId="2746F5C6" w14:textId="5FAE61A2" w:rsidR="000037A4" w:rsidRPr="006A735C" w:rsidRDefault="00631614">
      <w:pPr>
        <w:rPr>
          <w:sz w:val="24"/>
          <w:szCs w:val="24"/>
          <w:u w:val="single"/>
        </w:rPr>
      </w:pPr>
      <w:r w:rsidRPr="006A735C">
        <w:rPr>
          <w:sz w:val="24"/>
          <w:szCs w:val="24"/>
          <w:u w:val="single"/>
        </w:rPr>
        <w:t>Question Presented</w:t>
      </w:r>
    </w:p>
    <w:p w14:paraId="78DCD99E" w14:textId="57435CF8" w:rsidR="000037A4" w:rsidRDefault="00631614">
      <w:pPr>
        <w:rPr>
          <w:sz w:val="24"/>
          <w:szCs w:val="24"/>
        </w:rPr>
      </w:pPr>
      <w:r>
        <w:rPr>
          <w:sz w:val="24"/>
          <w:szCs w:val="24"/>
        </w:rPr>
        <w:t>How should land use change be considered</w:t>
      </w:r>
      <w:r w:rsidR="006A735C">
        <w:rPr>
          <w:sz w:val="24"/>
          <w:szCs w:val="24"/>
        </w:rPr>
        <w:t>, if at all,</w:t>
      </w:r>
      <w:r>
        <w:rPr>
          <w:sz w:val="24"/>
          <w:szCs w:val="24"/>
        </w:rPr>
        <w:t xml:space="preserve"> </w:t>
      </w:r>
      <w:r w:rsidR="006A735C">
        <w:rPr>
          <w:sz w:val="24"/>
          <w:szCs w:val="24"/>
        </w:rPr>
        <w:t xml:space="preserve">in </w:t>
      </w:r>
      <w:r>
        <w:rPr>
          <w:sz w:val="24"/>
          <w:szCs w:val="24"/>
        </w:rPr>
        <w:t xml:space="preserve">the </w:t>
      </w:r>
      <w:r w:rsidR="003D6769">
        <w:rPr>
          <w:sz w:val="24"/>
          <w:szCs w:val="24"/>
        </w:rPr>
        <w:t xml:space="preserve">liquid </w:t>
      </w:r>
      <w:r w:rsidR="004E4F60">
        <w:rPr>
          <w:sz w:val="24"/>
          <w:szCs w:val="24"/>
        </w:rPr>
        <w:t>bio</w:t>
      </w:r>
      <w:r>
        <w:rPr>
          <w:sz w:val="24"/>
          <w:szCs w:val="24"/>
        </w:rPr>
        <w:t>fuel lifecycle carbon intensity (CI) scores?</w:t>
      </w:r>
    </w:p>
    <w:p w14:paraId="6D410455" w14:textId="77777777" w:rsidR="00A81B18" w:rsidRPr="00277988" w:rsidDel="00633724" w:rsidRDefault="00A81B18" w:rsidP="00A81B18">
      <w:pPr>
        <w:pStyle w:val="ListParagraph"/>
        <w:numPr>
          <w:ilvl w:val="0"/>
          <w:numId w:val="2"/>
        </w:numPr>
        <w:ind w:left="360"/>
        <w:rPr>
          <w:sz w:val="24"/>
          <w:szCs w:val="24"/>
          <w:u w:val="single"/>
        </w:rPr>
      </w:pPr>
      <w:r w:rsidDel="00633724">
        <w:rPr>
          <w:sz w:val="24"/>
          <w:szCs w:val="24"/>
        </w:rPr>
        <w:t>Option 1: Exclude LUC (OD proposed approach)</w:t>
      </w:r>
    </w:p>
    <w:p w14:paraId="72501D72" w14:textId="77777777" w:rsidR="00A81B18" w:rsidRPr="006E7A9D" w:rsidDel="00633724" w:rsidRDefault="00A81B18" w:rsidP="00A81B18">
      <w:pPr>
        <w:pStyle w:val="ListParagraph"/>
        <w:numPr>
          <w:ilvl w:val="0"/>
          <w:numId w:val="2"/>
        </w:numPr>
        <w:ind w:left="360"/>
        <w:rPr>
          <w:sz w:val="24"/>
          <w:szCs w:val="24"/>
          <w:u w:val="single"/>
        </w:rPr>
      </w:pPr>
      <w:r w:rsidDel="00633724">
        <w:rPr>
          <w:sz w:val="24"/>
          <w:szCs w:val="24"/>
        </w:rPr>
        <w:t>Option 2: Include LUC</w:t>
      </w:r>
    </w:p>
    <w:p w14:paraId="4DB58DA6" w14:textId="1B3F0A04" w:rsidR="000037A4" w:rsidRDefault="00631614">
      <w:pPr>
        <w:rPr>
          <w:sz w:val="24"/>
          <w:szCs w:val="24"/>
        </w:rPr>
      </w:pPr>
      <w:r w:rsidRPr="006A735C">
        <w:rPr>
          <w:sz w:val="24"/>
          <w:szCs w:val="24"/>
          <w:u w:val="single"/>
        </w:rPr>
        <w:t xml:space="preserve">Opinion Dynamics </w:t>
      </w:r>
      <w:r w:rsidR="00DC074C">
        <w:rPr>
          <w:sz w:val="24"/>
          <w:szCs w:val="24"/>
          <w:u w:val="single"/>
        </w:rPr>
        <w:t xml:space="preserve">(OD) </w:t>
      </w:r>
      <w:r w:rsidRPr="006A735C">
        <w:rPr>
          <w:sz w:val="24"/>
          <w:szCs w:val="24"/>
          <w:u w:val="single"/>
        </w:rPr>
        <w:t>Proposed Approach</w:t>
      </w:r>
      <w:r>
        <w:rPr>
          <w:rStyle w:val="FootnoteReference"/>
          <w:sz w:val="24"/>
          <w:szCs w:val="24"/>
        </w:rPr>
        <w:footnoteReference w:id="2"/>
      </w:r>
    </w:p>
    <w:p w14:paraId="6A869757" w14:textId="75725A1C" w:rsidR="008B5E75" w:rsidRDefault="00631614" w:rsidP="0074565A">
      <w:pPr>
        <w:pStyle w:val="ListParagraph"/>
        <w:numPr>
          <w:ilvl w:val="0"/>
          <w:numId w:val="1"/>
        </w:numPr>
        <w:ind w:left="360"/>
        <w:rPr>
          <w:sz w:val="24"/>
          <w:szCs w:val="24"/>
        </w:rPr>
      </w:pPr>
      <w:r>
        <w:rPr>
          <w:sz w:val="24"/>
          <w:szCs w:val="24"/>
        </w:rPr>
        <w:t xml:space="preserve">Assume there is no change in land use </w:t>
      </w:r>
      <w:r w:rsidR="00DB3F68">
        <w:rPr>
          <w:sz w:val="24"/>
          <w:szCs w:val="24"/>
        </w:rPr>
        <w:t xml:space="preserve">(either direct or indirect) </w:t>
      </w:r>
      <w:r>
        <w:rPr>
          <w:sz w:val="24"/>
          <w:szCs w:val="24"/>
        </w:rPr>
        <w:t>associated with the biofuel that needs to be quantified in the emission rates</w:t>
      </w:r>
    </w:p>
    <w:p w14:paraId="2A8DD12C" w14:textId="78257334" w:rsidR="000037A4" w:rsidRDefault="00631614" w:rsidP="0074565A">
      <w:pPr>
        <w:pStyle w:val="ListParagraph"/>
        <w:numPr>
          <w:ilvl w:val="0"/>
          <w:numId w:val="1"/>
        </w:numPr>
        <w:ind w:left="360"/>
        <w:rPr>
          <w:sz w:val="24"/>
          <w:szCs w:val="24"/>
        </w:rPr>
      </w:pPr>
      <w:r>
        <w:rPr>
          <w:sz w:val="24"/>
          <w:szCs w:val="24"/>
        </w:rPr>
        <w:t>Land use change (LUC)</w:t>
      </w:r>
      <w:r w:rsidR="00BC5F44">
        <w:rPr>
          <w:rStyle w:val="FootnoteReference"/>
          <w:sz w:val="24"/>
          <w:szCs w:val="24"/>
        </w:rPr>
        <w:footnoteReference w:id="3"/>
      </w:r>
      <w:r>
        <w:rPr>
          <w:sz w:val="24"/>
          <w:szCs w:val="24"/>
        </w:rPr>
        <w:t xml:space="preserve"> from the CI scores and targets excluded for </w:t>
      </w:r>
      <w:proofErr w:type="gramStart"/>
      <w:r>
        <w:rPr>
          <w:sz w:val="24"/>
          <w:szCs w:val="24"/>
        </w:rPr>
        <w:t>a number of</w:t>
      </w:r>
      <w:proofErr w:type="gramEnd"/>
      <w:r>
        <w:rPr>
          <w:sz w:val="24"/>
          <w:szCs w:val="24"/>
        </w:rPr>
        <w:t xml:space="preserve"> reasons</w:t>
      </w:r>
      <w:r w:rsidR="002F7951">
        <w:rPr>
          <w:rStyle w:val="FootnoteReference"/>
          <w:sz w:val="24"/>
          <w:szCs w:val="24"/>
        </w:rPr>
        <w:footnoteReference w:id="4"/>
      </w:r>
      <w:r w:rsidR="0001282C">
        <w:rPr>
          <w:sz w:val="24"/>
          <w:szCs w:val="24"/>
        </w:rPr>
        <w:t>,</w:t>
      </w:r>
      <w:r w:rsidR="0001282C">
        <w:rPr>
          <w:rStyle w:val="FootnoteReference"/>
          <w:sz w:val="24"/>
          <w:szCs w:val="24"/>
        </w:rPr>
        <w:footnoteReference w:id="5"/>
      </w:r>
      <w:r>
        <w:rPr>
          <w:sz w:val="24"/>
          <w:szCs w:val="24"/>
        </w:rPr>
        <w:t>:</w:t>
      </w:r>
    </w:p>
    <w:p w14:paraId="4119FCDA" w14:textId="1460423D" w:rsidR="000037A4" w:rsidRDefault="00631614" w:rsidP="0074565A">
      <w:pPr>
        <w:pStyle w:val="ListParagraph"/>
        <w:numPr>
          <w:ilvl w:val="1"/>
          <w:numId w:val="1"/>
        </w:numPr>
        <w:ind w:left="720"/>
        <w:rPr>
          <w:sz w:val="24"/>
          <w:szCs w:val="24"/>
        </w:rPr>
      </w:pPr>
      <w:r>
        <w:rPr>
          <w:sz w:val="24"/>
          <w:szCs w:val="24"/>
        </w:rPr>
        <w:t>GREET1 2023 is inconsistent in accounting of land use changes in fuel production and feedstock</w:t>
      </w:r>
    </w:p>
    <w:p w14:paraId="42466E95" w14:textId="77777777" w:rsidR="008B5E75" w:rsidRDefault="00631614" w:rsidP="0074565A">
      <w:pPr>
        <w:pStyle w:val="ListParagraph"/>
        <w:numPr>
          <w:ilvl w:val="1"/>
          <w:numId w:val="1"/>
        </w:numPr>
        <w:ind w:left="720"/>
        <w:rPr>
          <w:sz w:val="24"/>
          <w:szCs w:val="24"/>
        </w:rPr>
      </w:pPr>
      <w:r>
        <w:rPr>
          <w:sz w:val="24"/>
          <w:szCs w:val="24"/>
        </w:rPr>
        <w:t>Simplified assumptions allow for a TRM that is an easy-to-use, replicable and transparent resource</w:t>
      </w:r>
    </w:p>
    <w:p w14:paraId="0D927FB9" w14:textId="51442998" w:rsidR="006A735C" w:rsidRDefault="00A3731E" w:rsidP="0074565A">
      <w:pPr>
        <w:pStyle w:val="ListParagraph"/>
        <w:numPr>
          <w:ilvl w:val="1"/>
          <w:numId w:val="1"/>
        </w:numPr>
        <w:ind w:left="720"/>
        <w:rPr>
          <w:sz w:val="24"/>
          <w:szCs w:val="24"/>
        </w:rPr>
      </w:pPr>
      <w:r>
        <w:rPr>
          <w:sz w:val="24"/>
          <w:szCs w:val="24"/>
        </w:rPr>
        <w:t>Crop-based biofuels</w:t>
      </w:r>
      <w:r w:rsidR="005A085A">
        <w:rPr>
          <w:rStyle w:val="FootnoteReference"/>
          <w:sz w:val="24"/>
          <w:szCs w:val="24"/>
        </w:rPr>
        <w:footnoteReference w:id="6"/>
      </w:r>
      <w:r w:rsidR="005A085A">
        <w:rPr>
          <w:sz w:val="24"/>
          <w:szCs w:val="24"/>
        </w:rPr>
        <w:t xml:space="preserve"> are</w:t>
      </w:r>
      <w:r>
        <w:rPr>
          <w:sz w:val="24"/>
          <w:szCs w:val="24"/>
        </w:rPr>
        <w:t xml:space="preserve"> currently produced </w:t>
      </w:r>
      <w:r w:rsidR="005A085A">
        <w:rPr>
          <w:sz w:val="24"/>
          <w:szCs w:val="24"/>
        </w:rPr>
        <w:t xml:space="preserve">predominately </w:t>
      </w:r>
      <w:r>
        <w:rPr>
          <w:sz w:val="24"/>
          <w:szCs w:val="24"/>
        </w:rPr>
        <w:t>in the Midwest</w:t>
      </w:r>
      <w:r w:rsidR="005A085A">
        <w:rPr>
          <w:sz w:val="24"/>
          <w:szCs w:val="24"/>
        </w:rPr>
        <w:t xml:space="preserve">; </w:t>
      </w:r>
      <w:r w:rsidR="00BC5F44">
        <w:rPr>
          <w:sz w:val="24"/>
          <w:szCs w:val="24"/>
        </w:rPr>
        <w:t>they are</w:t>
      </w:r>
      <w:r w:rsidR="005A085A">
        <w:rPr>
          <w:sz w:val="24"/>
          <w:szCs w:val="24"/>
        </w:rPr>
        <w:t xml:space="preserve"> </w:t>
      </w:r>
      <w:r>
        <w:rPr>
          <w:sz w:val="24"/>
          <w:szCs w:val="24"/>
        </w:rPr>
        <w:t>assumed to be grown on dedicated land for explicit use in the energy sector</w:t>
      </w:r>
      <w:r w:rsidR="00BC5F44">
        <w:rPr>
          <w:sz w:val="24"/>
          <w:szCs w:val="24"/>
        </w:rPr>
        <w:t>, among their other uses (e.g., protein for animal feed)</w:t>
      </w:r>
    </w:p>
    <w:p w14:paraId="0203A115" w14:textId="2A537B4F" w:rsidR="000037A4" w:rsidRDefault="00631614" w:rsidP="0074565A">
      <w:pPr>
        <w:pStyle w:val="ListParagraph"/>
        <w:numPr>
          <w:ilvl w:val="1"/>
          <w:numId w:val="1"/>
        </w:numPr>
        <w:ind w:left="720"/>
        <w:rPr>
          <w:sz w:val="24"/>
          <w:szCs w:val="24"/>
        </w:rPr>
      </w:pPr>
      <w:r>
        <w:rPr>
          <w:sz w:val="24"/>
          <w:szCs w:val="24"/>
        </w:rPr>
        <w:lastRenderedPageBreak/>
        <w:t>Uncertainty around change in demand for these fuels nationally and Vermont’s contribution to that demand</w:t>
      </w:r>
      <w:r w:rsidR="008B5E75">
        <w:rPr>
          <w:sz w:val="24"/>
          <w:szCs w:val="24"/>
        </w:rPr>
        <w:t xml:space="preserve"> </w:t>
      </w:r>
    </w:p>
    <w:p w14:paraId="4AF3AB28" w14:textId="59F4A2B0" w:rsidR="006E7A9D" w:rsidRDefault="00631614" w:rsidP="006E7A9D">
      <w:pPr>
        <w:rPr>
          <w:sz w:val="24"/>
          <w:szCs w:val="24"/>
          <w:u w:val="single"/>
        </w:rPr>
      </w:pPr>
      <w:r>
        <w:rPr>
          <w:sz w:val="24"/>
          <w:szCs w:val="24"/>
          <w:u w:val="single"/>
        </w:rPr>
        <w:t>Statutory Requirements</w:t>
      </w:r>
    </w:p>
    <w:p w14:paraId="3F77F271" w14:textId="217F4CFA" w:rsidR="006E7A9D" w:rsidRPr="006E7A9D" w:rsidRDefault="008A64E2" w:rsidP="0074565A">
      <w:pPr>
        <w:pStyle w:val="ListParagraph"/>
        <w:numPr>
          <w:ilvl w:val="0"/>
          <w:numId w:val="3"/>
        </w:numPr>
        <w:ind w:left="360"/>
        <w:rPr>
          <w:sz w:val="24"/>
          <w:szCs w:val="24"/>
          <w:u w:val="single"/>
        </w:rPr>
      </w:pPr>
      <w:r>
        <w:rPr>
          <w:b/>
          <w:bCs/>
          <w:sz w:val="24"/>
          <w:szCs w:val="24"/>
        </w:rPr>
        <w:t xml:space="preserve">Express </w:t>
      </w:r>
      <w:r w:rsidR="008B325D">
        <w:rPr>
          <w:b/>
          <w:bCs/>
          <w:sz w:val="24"/>
          <w:szCs w:val="24"/>
        </w:rPr>
        <w:t xml:space="preserve">References to “land use change”: </w:t>
      </w:r>
      <w:r w:rsidR="00631614">
        <w:rPr>
          <w:sz w:val="24"/>
          <w:szCs w:val="24"/>
        </w:rPr>
        <w:t>Act 18 mentions “land use change” twice:</w:t>
      </w:r>
    </w:p>
    <w:p w14:paraId="1D749D98" w14:textId="072382FE" w:rsidR="006E7A9D" w:rsidRPr="006E7A9D" w:rsidRDefault="00CE5569" w:rsidP="0074565A">
      <w:pPr>
        <w:pStyle w:val="ListParagraph"/>
        <w:numPr>
          <w:ilvl w:val="1"/>
          <w:numId w:val="3"/>
        </w:numPr>
        <w:ind w:left="720"/>
        <w:rPr>
          <w:sz w:val="24"/>
          <w:szCs w:val="24"/>
          <w:u w:val="single"/>
        </w:rPr>
      </w:pPr>
      <w:r>
        <w:rPr>
          <w:sz w:val="24"/>
          <w:szCs w:val="24"/>
        </w:rPr>
        <w:t xml:space="preserve">30 V.S.A. </w:t>
      </w:r>
      <w:r>
        <w:rPr>
          <w:rFonts w:ascii="Times New Roman" w:hAnsi="Times New Roman" w:cs="Times New Roman"/>
          <w:sz w:val="24"/>
          <w:szCs w:val="24"/>
        </w:rPr>
        <w:t>§</w:t>
      </w:r>
      <w:r>
        <w:rPr>
          <w:sz w:val="24"/>
          <w:szCs w:val="24"/>
        </w:rPr>
        <w:t xml:space="preserve"> </w:t>
      </w:r>
      <w:r w:rsidR="00631614">
        <w:rPr>
          <w:sz w:val="24"/>
          <w:szCs w:val="24"/>
        </w:rPr>
        <w:t xml:space="preserve">8128(a)(3) </w:t>
      </w:r>
      <w:r>
        <w:rPr>
          <w:sz w:val="24"/>
          <w:szCs w:val="24"/>
        </w:rPr>
        <w:t xml:space="preserve">includes the following as one of the duties of the Technical Advisory Group (TAG): </w:t>
      </w:r>
      <w:r w:rsidR="00631614">
        <w:rPr>
          <w:sz w:val="24"/>
          <w:szCs w:val="24"/>
        </w:rPr>
        <w:t>“</w:t>
      </w:r>
      <w:r w:rsidR="00631614" w:rsidRPr="006E7A9D">
        <w:rPr>
          <w:sz w:val="24"/>
          <w:szCs w:val="24"/>
          <w:u w:val="single"/>
        </w:rPr>
        <w:t>periodically assessing and reporting</w:t>
      </w:r>
      <w:r w:rsidR="00631614" w:rsidRPr="006E7A9D">
        <w:rPr>
          <w:sz w:val="24"/>
          <w:szCs w:val="24"/>
        </w:rPr>
        <w:t xml:space="preserve"> to the </w:t>
      </w:r>
      <w:r w:rsidR="00B26E46">
        <w:rPr>
          <w:sz w:val="24"/>
          <w:szCs w:val="24"/>
        </w:rPr>
        <w:t>[</w:t>
      </w:r>
      <w:r w:rsidR="00556C3E">
        <w:rPr>
          <w:sz w:val="24"/>
          <w:szCs w:val="24"/>
        </w:rPr>
        <w:t>PUC]</w:t>
      </w:r>
      <w:r w:rsidR="00631614" w:rsidRPr="006E7A9D">
        <w:rPr>
          <w:sz w:val="24"/>
          <w:szCs w:val="24"/>
        </w:rPr>
        <w:t xml:space="preserve"> on the sustainability of the production of clean heat measures by </w:t>
      </w:r>
      <w:r w:rsidR="00631614" w:rsidRPr="006E7A9D">
        <w:rPr>
          <w:sz w:val="24"/>
          <w:szCs w:val="24"/>
          <w:u w:val="single"/>
        </w:rPr>
        <w:t>considering factors</w:t>
      </w:r>
      <w:r w:rsidR="00631614" w:rsidRPr="006E7A9D">
        <w:rPr>
          <w:sz w:val="24"/>
          <w:szCs w:val="24"/>
        </w:rPr>
        <w:t xml:space="preserve"> including greenhouse gas emissions; carbon sequestration and storage; human health impacts; </w:t>
      </w:r>
      <w:r w:rsidR="00631614" w:rsidRPr="006E7A9D">
        <w:rPr>
          <w:sz w:val="24"/>
          <w:szCs w:val="24"/>
          <w:u w:val="single"/>
        </w:rPr>
        <w:t>land use changes</w:t>
      </w:r>
      <w:r w:rsidR="00631614" w:rsidRPr="006E7A9D">
        <w:rPr>
          <w:sz w:val="24"/>
          <w:szCs w:val="24"/>
        </w:rPr>
        <w:t>; ecological and biodiversity impacts; groundwater and surface water impacts; air, water, and soil pollution; and impacts on food costs</w:t>
      </w:r>
      <w:r w:rsidR="00556C3E">
        <w:rPr>
          <w:sz w:val="24"/>
          <w:szCs w:val="24"/>
        </w:rPr>
        <w:t>.</w:t>
      </w:r>
      <w:r w:rsidR="00631614">
        <w:rPr>
          <w:sz w:val="24"/>
          <w:szCs w:val="24"/>
        </w:rPr>
        <w:t>” [emphasis added]</w:t>
      </w:r>
    </w:p>
    <w:p w14:paraId="2BFC6070" w14:textId="554782A1" w:rsidR="00EA23D2" w:rsidRDefault="00B26E46" w:rsidP="0074565A">
      <w:pPr>
        <w:pStyle w:val="ListParagraph"/>
        <w:numPr>
          <w:ilvl w:val="1"/>
          <w:numId w:val="3"/>
        </w:numPr>
        <w:ind w:left="720"/>
        <w:rPr>
          <w:sz w:val="24"/>
          <w:szCs w:val="24"/>
        </w:rPr>
      </w:pPr>
      <w:r>
        <w:rPr>
          <w:sz w:val="24"/>
          <w:szCs w:val="24"/>
        </w:rPr>
        <w:t xml:space="preserve">30 V.S.A. </w:t>
      </w:r>
      <w:r>
        <w:rPr>
          <w:rFonts w:ascii="Times New Roman" w:hAnsi="Times New Roman" w:cs="Times New Roman"/>
          <w:sz w:val="24"/>
          <w:szCs w:val="24"/>
        </w:rPr>
        <w:t>§</w:t>
      </w:r>
      <w:r>
        <w:rPr>
          <w:sz w:val="24"/>
          <w:szCs w:val="24"/>
        </w:rPr>
        <w:t xml:space="preserve"> </w:t>
      </w:r>
      <w:r w:rsidR="00631614">
        <w:rPr>
          <w:sz w:val="24"/>
          <w:szCs w:val="24"/>
        </w:rPr>
        <w:t xml:space="preserve">8128(b) specifies </w:t>
      </w:r>
      <w:proofErr w:type="gramStart"/>
      <w:r w:rsidR="00631614">
        <w:rPr>
          <w:sz w:val="24"/>
          <w:szCs w:val="24"/>
        </w:rPr>
        <w:t>a number of</w:t>
      </w:r>
      <w:proofErr w:type="gramEnd"/>
      <w:r w:rsidR="00631614">
        <w:rPr>
          <w:sz w:val="24"/>
          <w:szCs w:val="24"/>
        </w:rPr>
        <w:t xml:space="preserve"> fields of expertise </w:t>
      </w:r>
      <w:r w:rsidR="00A32CDC">
        <w:rPr>
          <w:sz w:val="24"/>
          <w:szCs w:val="24"/>
        </w:rPr>
        <w:t>that</w:t>
      </w:r>
      <w:r w:rsidR="00631614">
        <w:rPr>
          <w:sz w:val="24"/>
          <w:szCs w:val="24"/>
        </w:rPr>
        <w:t xml:space="preserve"> should be represented among the TAG members selected by the PUC</w:t>
      </w:r>
      <w:r w:rsidR="00A32CDC">
        <w:rPr>
          <w:sz w:val="24"/>
          <w:szCs w:val="24"/>
        </w:rPr>
        <w:t xml:space="preserve">; these enumerated fields include </w:t>
      </w:r>
      <w:r w:rsidR="00631614">
        <w:rPr>
          <w:sz w:val="24"/>
          <w:szCs w:val="24"/>
        </w:rPr>
        <w:t xml:space="preserve">expertise in “land use change” among </w:t>
      </w:r>
      <w:r w:rsidR="00A32CDC">
        <w:rPr>
          <w:sz w:val="24"/>
          <w:szCs w:val="24"/>
        </w:rPr>
        <w:t>the many f</w:t>
      </w:r>
      <w:r w:rsidR="00631614">
        <w:rPr>
          <w:sz w:val="24"/>
          <w:szCs w:val="24"/>
        </w:rPr>
        <w:t xml:space="preserve">ields </w:t>
      </w:r>
      <w:r w:rsidR="00A32CDC">
        <w:rPr>
          <w:sz w:val="24"/>
          <w:szCs w:val="24"/>
        </w:rPr>
        <w:t>identified</w:t>
      </w:r>
      <w:r w:rsidR="00556C3E">
        <w:rPr>
          <w:sz w:val="24"/>
          <w:szCs w:val="24"/>
        </w:rPr>
        <w:t>.</w:t>
      </w:r>
    </w:p>
    <w:p w14:paraId="4E8E29B1" w14:textId="4D40B77C" w:rsidR="008A64E2" w:rsidRDefault="008A64E2" w:rsidP="00EA23D2">
      <w:pPr>
        <w:pStyle w:val="ListParagraph"/>
        <w:numPr>
          <w:ilvl w:val="0"/>
          <w:numId w:val="3"/>
        </w:numPr>
        <w:ind w:left="360"/>
        <w:rPr>
          <w:b/>
          <w:bCs/>
          <w:sz w:val="24"/>
          <w:szCs w:val="24"/>
          <w:u w:val="single"/>
        </w:rPr>
      </w:pPr>
      <w:r w:rsidRPr="00B401DF">
        <w:rPr>
          <w:b/>
          <w:bCs/>
          <w:sz w:val="24"/>
          <w:szCs w:val="24"/>
          <w:u w:val="single"/>
        </w:rPr>
        <w:t xml:space="preserve">Implied </w:t>
      </w:r>
      <w:r>
        <w:rPr>
          <w:b/>
          <w:bCs/>
          <w:sz w:val="24"/>
          <w:szCs w:val="24"/>
          <w:u w:val="single"/>
        </w:rPr>
        <w:t>R</w:t>
      </w:r>
      <w:r w:rsidRPr="00B401DF">
        <w:rPr>
          <w:b/>
          <w:bCs/>
          <w:sz w:val="24"/>
          <w:szCs w:val="24"/>
          <w:u w:val="single"/>
        </w:rPr>
        <w:t>eference to “land use change”</w:t>
      </w:r>
      <w:r>
        <w:rPr>
          <w:b/>
          <w:bCs/>
          <w:sz w:val="24"/>
          <w:szCs w:val="24"/>
          <w:u w:val="single"/>
        </w:rPr>
        <w:t>:</w:t>
      </w:r>
    </w:p>
    <w:p w14:paraId="1D70D4E3" w14:textId="78CD4004" w:rsidR="008A64E2" w:rsidRPr="00B401DF" w:rsidRDefault="008A64E2" w:rsidP="00B401DF">
      <w:pPr>
        <w:pStyle w:val="ListParagraph"/>
        <w:numPr>
          <w:ilvl w:val="1"/>
          <w:numId w:val="3"/>
        </w:numPr>
        <w:ind w:left="720"/>
        <w:rPr>
          <w:b/>
          <w:bCs/>
          <w:sz w:val="24"/>
          <w:szCs w:val="24"/>
          <w:u w:val="single"/>
        </w:rPr>
      </w:pPr>
      <w:r>
        <w:rPr>
          <w:b/>
          <w:bCs/>
          <w:sz w:val="24"/>
          <w:szCs w:val="24"/>
          <w:u w:val="single"/>
        </w:rPr>
        <w:t xml:space="preserve">30 V.S.A </w:t>
      </w:r>
      <w:r>
        <w:rPr>
          <w:rFonts w:ascii="Times New Roman" w:hAnsi="Times New Roman" w:cs="Times New Roman"/>
          <w:sz w:val="24"/>
          <w:szCs w:val="24"/>
        </w:rPr>
        <w:t>§</w:t>
      </w:r>
      <w:r>
        <w:rPr>
          <w:sz w:val="24"/>
          <w:szCs w:val="24"/>
        </w:rPr>
        <w:t xml:space="preserve"> 8127(h) (“Review of Consequences”) directs the PUC to “</w:t>
      </w:r>
      <w:r w:rsidRPr="008A64E2">
        <w:rPr>
          <w:sz w:val="24"/>
          <w:szCs w:val="24"/>
        </w:rPr>
        <w:t>biennially assess harmful consequences that may arise in Vermont or elsewhere from the implementation of specific types of clean heat measures and shall set standards or limits to prevent those consequences.  Such consequences shall include environmental burdens as defined in 3 V.S.A. § 6002, public health, deforestation or forest degradation, conversion of grasslands, increased emissions of criteria pollutants, damage to watersheds, or the creation of new methane to meet fuel demand</w:t>
      </w:r>
      <w:r w:rsidR="008331FC">
        <w:rPr>
          <w:sz w:val="24"/>
          <w:szCs w:val="24"/>
        </w:rPr>
        <w:t>.”</w:t>
      </w:r>
    </w:p>
    <w:p w14:paraId="5BAB4D77" w14:textId="082C56BC" w:rsidR="008B325D" w:rsidRPr="00B03994" w:rsidRDefault="008B325D" w:rsidP="00EA23D2">
      <w:pPr>
        <w:pStyle w:val="ListParagraph"/>
        <w:numPr>
          <w:ilvl w:val="0"/>
          <w:numId w:val="3"/>
        </w:numPr>
        <w:ind w:left="360"/>
        <w:rPr>
          <w:sz w:val="24"/>
          <w:szCs w:val="24"/>
          <w:u w:val="single"/>
        </w:rPr>
      </w:pPr>
      <w:r>
        <w:rPr>
          <w:b/>
          <w:bCs/>
          <w:sz w:val="24"/>
          <w:szCs w:val="24"/>
        </w:rPr>
        <w:t>References to “verifiable”</w:t>
      </w:r>
      <w:r w:rsidR="00166E14">
        <w:rPr>
          <w:b/>
          <w:bCs/>
          <w:sz w:val="24"/>
          <w:szCs w:val="24"/>
        </w:rPr>
        <w:t xml:space="preserve"> and “measured”</w:t>
      </w:r>
      <w:r>
        <w:rPr>
          <w:b/>
          <w:bCs/>
          <w:sz w:val="24"/>
          <w:szCs w:val="24"/>
        </w:rPr>
        <w:t>:</w:t>
      </w:r>
    </w:p>
    <w:p w14:paraId="0F028141" w14:textId="24314B62" w:rsidR="005A085A" w:rsidRPr="00B401DF" w:rsidRDefault="00B26E46" w:rsidP="00B03994">
      <w:pPr>
        <w:pStyle w:val="ListParagraph"/>
        <w:numPr>
          <w:ilvl w:val="1"/>
          <w:numId w:val="3"/>
        </w:numPr>
        <w:ind w:left="720"/>
        <w:rPr>
          <w:sz w:val="24"/>
          <w:szCs w:val="24"/>
          <w:u w:val="single"/>
        </w:rPr>
      </w:pPr>
      <w:r>
        <w:rPr>
          <w:sz w:val="24"/>
          <w:szCs w:val="24"/>
        </w:rPr>
        <w:t xml:space="preserve">30 V.S.A. </w:t>
      </w:r>
      <w:r>
        <w:rPr>
          <w:rFonts w:ascii="Times New Roman" w:hAnsi="Times New Roman" w:cs="Times New Roman"/>
          <w:sz w:val="24"/>
          <w:szCs w:val="24"/>
        </w:rPr>
        <w:t>§</w:t>
      </w:r>
      <w:r w:rsidR="00631614" w:rsidRPr="005A085A">
        <w:rPr>
          <w:sz w:val="24"/>
          <w:szCs w:val="24"/>
        </w:rPr>
        <w:t xml:space="preserve"> </w:t>
      </w:r>
      <w:r w:rsidR="005F469B" w:rsidRPr="005A085A">
        <w:rPr>
          <w:sz w:val="24"/>
          <w:szCs w:val="24"/>
        </w:rPr>
        <w:t>8127</w:t>
      </w:r>
      <w:r>
        <w:rPr>
          <w:sz w:val="24"/>
          <w:szCs w:val="24"/>
        </w:rPr>
        <w:t>(c)</w:t>
      </w:r>
      <w:r w:rsidR="005F469B" w:rsidRPr="005A085A">
        <w:rPr>
          <w:sz w:val="24"/>
          <w:szCs w:val="24"/>
        </w:rPr>
        <w:t xml:space="preserve"> requires </w:t>
      </w:r>
      <w:r>
        <w:rPr>
          <w:sz w:val="24"/>
          <w:szCs w:val="24"/>
        </w:rPr>
        <w:t xml:space="preserve">that “[c]lean heat credits . . . be </w:t>
      </w:r>
      <w:r w:rsidR="008331FC">
        <w:rPr>
          <w:sz w:val="24"/>
          <w:szCs w:val="24"/>
        </w:rPr>
        <w:t>based on</w:t>
      </w:r>
      <w:r>
        <w:rPr>
          <w:sz w:val="24"/>
          <w:szCs w:val="24"/>
        </w:rPr>
        <w:t xml:space="preserve"> the accurate and </w:t>
      </w:r>
      <w:r w:rsidR="005F469B" w:rsidRPr="005A085A">
        <w:rPr>
          <w:sz w:val="24"/>
          <w:szCs w:val="24"/>
          <w:u w:val="single"/>
        </w:rPr>
        <w:t>verifiable</w:t>
      </w:r>
      <w:r w:rsidR="005F469B" w:rsidRPr="005A085A">
        <w:rPr>
          <w:sz w:val="24"/>
          <w:szCs w:val="24"/>
        </w:rPr>
        <w:t xml:space="preserve"> </w:t>
      </w:r>
      <w:r>
        <w:rPr>
          <w:sz w:val="24"/>
          <w:szCs w:val="24"/>
        </w:rPr>
        <w:t xml:space="preserve">lifecycle CO2e emission reductions in Vermont’s </w:t>
      </w:r>
      <w:r>
        <w:rPr>
          <w:sz w:val="24"/>
          <w:szCs w:val="24"/>
          <w:u w:val="single"/>
        </w:rPr>
        <w:t>thermal sector</w:t>
      </w:r>
      <w:r>
        <w:rPr>
          <w:sz w:val="24"/>
          <w:szCs w:val="24"/>
        </w:rPr>
        <w:t xml:space="preserve"> . . .</w:t>
      </w:r>
      <w:r w:rsidR="00556C3E">
        <w:rPr>
          <w:sz w:val="24"/>
          <w:szCs w:val="24"/>
        </w:rPr>
        <w:t>.</w:t>
      </w:r>
      <w:r>
        <w:rPr>
          <w:sz w:val="24"/>
          <w:szCs w:val="24"/>
        </w:rPr>
        <w:t xml:space="preserve">” </w:t>
      </w:r>
      <w:r w:rsidR="0038374C" w:rsidRPr="005A085A">
        <w:rPr>
          <w:sz w:val="24"/>
          <w:szCs w:val="24"/>
        </w:rPr>
        <w:t>[emphasis added</w:t>
      </w:r>
      <w:r w:rsidR="008B325D">
        <w:rPr>
          <w:sz w:val="24"/>
          <w:szCs w:val="24"/>
        </w:rPr>
        <w:t>]</w:t>
      </w:r>
      <w:r w:rsidRPr="00B03994">
        <w:rPr>
          <w:sz w:val="24"/>
          <w:szCs w:val="24"/>
        </w:rPr>
        <w:t xml:space="preserve">30 V.S.A. </w:t>
      </w:r>
      <w:r w:rsidRPr="00B03994">
        <w:rPr>
          <w:rFonts w:ascii="Times New Roman" w:hAnsi="Times New Roman" w:cs="Times New Roman"/>
          <w:sz w:val="24"/>
          <w:szCs w:val="24"/>
        </w:rPr>
        <w:t>§</w:t>
      </w:r>
      <w:r w:rsidRPr="00B03994">
        <w:rPr>
          <w:sz w:val="24"/>
          <w:szCs w:val="24"/>
        </w:rPr>
        <w:t xml:space="preserve"> 8127(g)(1) requires that the emissions schedule “be based on transparent, </w:t>
      </w:r>
      <w:r w:rsidRPr="00B03994">
        <w:rPr>
          <w:sz w:val="24"/>
          <w:szCs w:val="24"/>
          <w:u w:val="single"/>
        </w:rPr>
        <w:t>verifiable</w:t>
      </w:r>
      <w:r w:rsidRPr="00B03994">
        <w:rPr>
          <w:sz w:val="24"/>
          <w:szCs w:val="24"/>
        </w:rPr>
        <w:t xml:space="preserve">, and accurate emissions accounting adapting . . . GREET . . . or an alternative of comparable rigor to fit the Vermont </w:t>
      </w:r>
      <w:r w:rsidRPr="00B03994">
        <w:rPr>
          <w:sz w:val="24"/>
          <w:szCs w:val="24"/>
          <w:u w:val="single"/>
        </w:rPr>
        <w:t>thermal sector context</w:t>
      </w:r>
      <w:r w:rsidRPr="00B03994">
        <w:rPr>
          <w:sz w:val="24"/>
          <w:szCs w:val="24"/>
        </w:rPr>
        <w:t xml:space="preserve">, and the requirements of 10 V.S.A. </w:t>
      </w:r>
      <w:r w:rsidRPr="00B03994">
        <w:rPr>
          <w:rFonts w:ascii="Times New Roman" w:hAnsi="Times New Roman" w:cs="Times New Roman"/>
          <w:sz w:val="24"/>
          <w:szCs w:val="24"/>
        </w:rPr>
        <w:t>§</w:t>
      </w:r>
      <w:r w:rsidRPr="00B03994">
        <w:rPr>
          <w:sz w:val="24"/>
          <w:szCs w:val="24"/>
        </w:rPr>
        <w:t xml:space="preserve"> 578(a)(2) and (3)</w:t>
      </w:r>
      <w:r w:rsidR="00556C3E">
        <w:rPr>
          <w:sz w:val="24"/>
          <w:szCs w:val="24"/>
        </w:rPr>
        <w:t>.</w:t>
      </w:r>
      <w:r w:rsidRPr="00B03994">
        <w:rPr>
          <w:sz w:val="24"/>
          <w:szCs w:val="24"/>
        </w:rPr>
        <w:t>” [emphasis added]</w:t>
      </w:r>
      <w:r w:rsidR="0038374C" w:rsidRPr="00B03994">
        <w:rPr>
          <w:sz w:val="24"/>
          <w:szCs w:val="24"/>
        </w:rPr>
        <w:t xml:space="preserve"> </w:t>
      </w:r>
    </w:p>
    <w:p w14:paraId="42E98167" w14:textId="6AC1D28B" w:rsidR="00166E14" w:rsidRPr="00B401DF" w:rsidRDefault="00166E14" w:rsidP="00166E14">
      <w:pPr>
        <w:pStyle w:val="ListParagraph"/>
        <w:numPr>
          <w:ilvl w:val="1"/>
          <w:numId w:val="3"/>
        </w:numPr>
        <w:ind w:left="720"/>
        <w:rPr>
          <w:sz w:val="24"/>
          <w:szCs w:val="24"/>
          <w:u w:val="single"/>
        </w:rPr>
      </w:pPr>
      <w:r>
        <w:rPr>
          <w:sz w:val="24"/>
          <w:szCs w:val="24"/>
          <w:u w:val="single"/>
        </w:rPr>
        <w:t>30 V.S.A.</w:t>
      </w:r>
      <w:r w:rsidRPr="00B03994">
        <w:rPr>
          <w:sz w:val="24"/>
          <w:szCs w:val="24"/>
        </w:rPr>
        <w:t xml:space="preserve"> </w:t>
      </w:r>
      <w:r w:rsidRPr="00B03994">
        <w:rPr>
          <w:rFonts w:ascii="Times New Roman" w:hAnsi="Times New Roman" w:cs="Times New Roman"/>
          <w:sz w:val="24"/>
          <w:szCs w:val="24"/>
        </w:rPr>
        <w:t>§</w:t>
      </w:r>
      <w:r w:rsidRPr="00B03994">
        <w:rPr>
          <w:sz w:val="24"/>
          <w:szCs w:val="24"/>
        </w:rPr>
        <w:t xml:space="preserve"> 8127(</w:t>
      </w:r>
      <w:r>
        <w:rPr>
          <w:sz w:val="24"/>
          <w:szCs w:val="24"/>
        </w:rPr>
        <w:t>f</w:t>
      </w:r>
      <w:r w:rsidRPr="00B03994">
        <w:rPr>
          <w:sz w:val="24"/>
          <w:szCs w:val="24"/>
        </w:rPr>
        <w:t>)(</w:t>
      </w:r>
      <w:r>
        <w:rPr>
          <w:sz w:val="24"/>
          <w:szCs w:val="24"/>
        </w:rPr>
        <w:t>3) requires that “[c]</w:t>
      </w:r>
      <w:proofErr w:type="spellStart"/>
      <w:r w:rsidRPr="008331FC">
        <w:rPr>
          <w:sz w:val="24"/>
          <w:szCs w:val="24"/>
        </w:rPr>
        <w:t>arbon</w:t>
      </w:r>
      <w:proofErr w:type="spellEnd"/>
      <w:r w:rsidRPr="008331FC">
        <w:rPr>
          <w:sz w:val="24"/>
          <w:szCs w:val="24"/>
        </w:rPr>
        <w:t xml:space="preserve"> intensity values shall be </w:t>
      </w:r>
      <w:r w:rsidRPr="00B74A3E">
        <w:rPr>
          <w:sz w:val="24"/>
          <w:szCs w:val="24"/>
          <w:u w:val="single"/>
        </w:rPr>
        <w:t>measured</w:t>
      </w:r>
      <w:r w:rsidRPr="008331FC">
        <w:rPr>
          <w:sz w:val="24"/>
          <w:szCs w:val="24"/>
        </w:rPr>
        <w:t xml:space="preserve"> based on fuel pathways. </w:t>
      </w:r>
      <w:r>
        <w:rPr>
          <w:sz w:val="24"/>
          <w:szCs w:val="24"/>
        </w:rPr>
        <w:t>[emphasis added]</w:t>
      </w:r>
      <w:r w:rsidRPr="008331FC">
        <w:rPr>
          <w:sz w:val="24"/>
          <w:szCs w:val="24"/>
        </w:rPr>
        <w:t xml:space="preserve"> </w:t>
      </w:r>
    </w:p>
    <w:p w14:paraId="424E916E" w14:textId="77777777" w:rsidR="008B325D" w:rsidRPr="00B03994" w:rsidRDefault="008B325D" w:rsidP="00EA23D2">
      <w:pPr>
        <w:pStyle w:val="ListParagraph"/>
        <w:numPr>
          <w:ilvl w:val="0"/>
          <w:numId w:val="3"/>
        </w:numPr>
        <w:ind w:left="360"/>
        <w:rPr>
          <w:sz w:val="24"/>
          <w:szCs w:val="24"/>
          <w:u w:val="single"/>
        </w:rPr>
      </w:pPr>
      <w:r>
        <w:rPr>
          <w:b/>
          <w:bCs/>
          <w:sz w:val="24"/>
          <w:szCs w:val="24"/>
        </w:rPr>
        <w:t>References to “fuel pathway”:</w:t>
      </w:r>
    </w:p>
    <w:p w14:paraId="1B80786E" w14:textId="1A0A8FC7" w:rsidR="00B26E46" w:rsidRPr="00B03994" w:rsidRDefault="008B325D" w:rsidP="008B325D">
      <w:pPr>
        <w:pStyle w:val="ListParagraph"/>
        <w:numPr>
          <w:ilvl w:val="1"/>
          <w:numId w:val="3"/>
        </w:numPr>
        <w:ind w:left="720"/>
        <w:rPr>
          <w:sz w:val="24"/>
          <w:szCs w:val="24"/>
          <w:u w:val="single"/>
        </w:rPr>
      </w:pPr>
      <w:r>
        <w:rPr>
          <w:sz w:val="24"/>
          <w:szCs w:val="24"/>
        </w:rPr>
        <w:t xml:space="preserve">30 V.S.A. </w:t>
      </w:r>
      <w:r>
        <w:rPr>
          <w:rFonts w:ascii="Times New Roman" w:hAnsi="Times New Roman" w:cs="Times New Roman"/>
          <w:sz w:val="24"/>
          <w:szCs w:val="24"/>
        </w:rPr>
        <w:t>§</w:t>
      </w:r>
      <w:r>
        <w:rPr>
          <w:sz w:val="24"/>
          <w:szCs w:val="24"/>
        </w:rPr>
        <w:t xml:space="preserve"> 8127(f)(3) requires that, for purposes of th</w:t>
      </w:r>
      <w:r w:rsidR="00441F28">
        <w:rPr>
          <w:sz w:val="24"/>
          <w:szCs w:val="24"/>
        </w:rPr>
        <w:t>is section</w:t>
      </w:r>
      <w:r>
        <w:rPr>
          <w:sz w:val="24"/>
          <w:szCs w:val="24"/>
        </w:rPr>
        <w:t xml:space="preserve">, CI scores “be measured based on fuel pathways” and “fuel pathway” is defined in 30 V.S.A. </w:t>
      </w:r>
      <w:r>
        <w:rPr>
          <w:rFonts w:ascii="Times New Roman" w:hAnsi="Times New Roman" w:cs="Times New Roman"/>
          <w:sz w:val="24"/>
          <w:szCs w:val="24"/>
        </w:rPr>
        <w:t>§</w:t>
      </w:r>
      <w:r>
        <w:rPr>
          <w:sz w:val="24"/>
          <w:szCs w:val="24"/>
        </w:rPr>
        <w:t xml:space="preserve"> 8123(10) to include “feedstock generation</w:t>
      </w:r>
      <w:r w:rsidR="00556C3E">
        <w:rPr>
          <w:sz w:val="24"/>
          <w:szCs w:val="24"/>
        </w:rPr>
        <w:t>.</w:t>
      </w:r>
      <w:r>
        <w:rPr>
          <w:sz w:val="24"/>
          <w:szCs w:val="24"/>
        </w:rPr>
        <w:t>”</w:t>
      </w:r>
    </w:p>
    <w:p w14:paraId="0688F849" w14:textId="4A209B6B" w:rsidR="008B325D" w:rsidRPr="005A085A" w:rsidRDefault="008B325D" w:rsidP="00B401DF">
      <w:pPr>
        <w:pStyle w:val="ListParagraph"/>
        <w:numPr>
          <w:ilvl w:val="1"/>
          <w:numId w:val="3"/>
        </w:numPr>
        <w:ind w:left="720"/>
        <w:rPr>
          <w:sz w:val="24"/>
          <w:szCs w:val="24"/>
          <w:u w:val="single"/>
        </w:rPr>
      </w:pPr>
      <w:r>
        <w:rPr>
          <w:sz w:val="24"/>
          <w:szCs w:val="24"/>
        </w:rPr>
        <w:lastRenderedPageBreak/>
        <w:t xml:space="preserve">30 V.S.A. </w:t>
      </w:r>
      <w:r>
        <w:rPr>
          <w:rFonts w:ascii="Times New Roman" w:hAnsi="Times New Roman" w:cs="Times New Roman"/>
          <w:sz w:val="24"/>
          <w:szCs w:val="24"/>
        </w:rPr>
        <w:t>§</w:t>
      </w:r>
      <w:r>
        <w:rPr>
          <w:sz w:val="24"/>
          <w:szCs w:val="24"/>
        </w:rPr>
        <w:t xml:space="preserve"> 8127(g)(</w:t>
      </w:r>
      <w:r w:rsidR="00166E14">
        <w:rPr>
          <w:sz w:val="24"/>
          <w:szCs w:val="24"/>
        </w:rPr>
        <w:t>2</w:t>
      </w:r>
      <w:r>
        <w:rPr>
          <w:sz w:val="24"/>
          <w:szCs w:val="24"/>
        </w:rPr>
        <w:t>) requires that the emissions schedule, for each fuel pathway, account for, among other things, the “loss of stored carbon</w:t>
      </w:r>
      <w:r w:rsidR="00556C3E">
        <w:rPr>
          <w:sz w:val="24"/>
          <w:szCs w:val="24"/>
        </w:rPr>
        <w:t>.</w:t>
      </w:r>
      <w:r>
        <w:rPr>
          <w:sz w:val="24"/>
          <w:szCs w:val="24"/>
        </w:rPr>
        <w:t>”</w:t>
      </w:r>
    </w:p>
    <w:p w14:paraId="69554214" w14:textId="57A9C7A3" w:rsidR="006E7A9D" w:rsidRPr="005A085A" w:rsidRDefault="008B325D" w:rsidP="005A085A">
      <w:pPr>
        <w:rPr>
          <w:sz w:val="24"/>
          <w:szCs w:val="24"/>
          <w:u w:val="single"/>
        </w:rPr>
      </w:pPr>
      <w:r>
        <w:rPr>
          <w:sz w:val="24"/>
          <w:szCs w:val="24"/>
          <w:u w:val="single"/>
        </w:rPr>
        <w:t>Support for Option 1</w:t>
      </w:r>
      <w:r w:rsidR="00A81B18">
        <w:rPr>
          <w:sz w:val="24"/>
          <w:szCs w:val="24"/>
          <w:u w:val="single"/>
        </w:rPr>
        <w:t xml:space="preserve"> (Exclude LUC)</w:t>
      </w:r>
    </w:p>
    <w:p w14:paraId="0ADD7271" w14:textId="5B4E2EBB" w:rsidR="00475FC1" w:rsidRPr="00475FC1" w:rsidRDefault="00631614" w:rsidP="00EA23D2">
      <w:pPr>
        <w:rPr>
          <w:sz w:val="24"/>
          <w:szCs w:val="24"/>
        </w:rPr>
      </w:pPr>
      <w:r>
        <w:rPr>
          <w:sz w:val="24"/>
          <w:szCs w:val="24"/>
        </w:rPr>
        <w:t xml:space="preserve">As a starting point, </w:t>
      </w:r>
      <w:r w:rsidR="00391FC3">
        <w:rPr>
          <w:sz w:val="24"/>
          <w:szCs w:val="24"/>
        </w:rPr>
        <w:t>indirect</w:t>
      </w:r>
      <w:r w:rsidR="00BC5F44">
        <w:rPr>
          <w:sz w:val="24"/>
          <w:szCs w:val="24"/>
        </w:rPr>
        <w:t xml:space="preserve"> or induced</w:t>
      </w:r>
      <w:r w:rsidR="00391FC3">
        <w:rPr>
          <w:sz w:val="24"/>
          <w:szCs w:val="24"/>
        </w:rPr>
        <w:t xml:space="preserve"> LUC </w:t>
      </w:r>
      <w:r w:rsidR="00BC5F44">
        <w:rPr>
          <w:sz w:val="24"/>
          <w:szCs w:val="24"/>
        </w:rPr>
        <w:t xml:space="preserve">(ILUC) </w:t>
      </w:r>
      <w:r w:rsidR="00391FC3">
        <w:rPr>
          <w:sz w:val="24"/>
          <w:szCs w:val="24"/>
        </w:rPr>
        <w:t xml:space="preserve">is based on the theory that land outside of the U.S. not already in use for biofuel production will be converted for agricultural purposes to backfill </w:t>
      </w:r>
      <w:r w:rsidR="00C91217">
        <w:rPr>
          <w:sz w:val="24"/>
          <w:szCs w:val="24"/>
        </w:rPr>
        <w:t>for the biomass converted into biofuel feedstock</w:t>
      </w:r>
      <w:r w:rsidR="001745C9">
        <w:rPr>
          <w:sz w:val="24"/>
          <w:szCs w:val="24"/>
        </w:rPr>
        <w:t xml:space="preserve"> in the U.S</w:t>
      </w:r>
      <w:r w:rsidR="00C91217">
        <w:rPr>
          <w:sz w:val="24"/>
          <w:szCs w:val="24"/>
        </w:rPr>
        <w:t xml:space="preserve">. </w:t>
      </w:r>
      <w:proofErr w:type="gramStart"/>
      <w:r w:rsidR="00C91217">
        <w:rPr>
          <w:sz w:val="24"/>
          <w:szCs w:val="24"/>
        </w:rPr>
        <w:t>By definition, ILUC</w:t>
      </w:r>
      <w:proofErr w:type="gramEnd"/>
      <w:r w:rsidR="00C91217">
        <w:rPr>
          <w:sz w:val="24"/>
          <w:szCs w:val="24"/>
        </w:rPr>
        <w:t xml:space="preserve"> cannot be directly measured, but must be inferred from</w:t>
      </w:r>
      <w:r w:rsidR="00585851">
        <w:rPr>
          <w:sz w:val="24"/>
          <w:szCs w:val="24"/>
        </w:rPr>
        <w:t xml:space="preserve"> computer models that attempt to simulate global market responses to an external factor such as a </w:t>
      </w:r>
      <w:r w:rsidR="00D8452B">
        <w:rPr>
          <w:sz w:val="24"/>
          <w:szCs w:val="24"/>
        </w:rPr>
        <w:t xml:space="preserve">major policy shift in one </w:t>
      </w:r>
      <w:r w:rsidR="001745C9">
        <w:rPr>
          <w:sz w:val="24"/>
          <w:szCs w:val="24"/>
        </w:rPr>
        <w:t xml:space="preserve">or more </w:t>
      </w:r>
      <w:r w:rsidR="00D8452B">
        <w:rPr>
          <w:sz w:val="24"/>
          <w:szCs w:val="24"/>
        </w:rPr>
        <w:t>jurisdiction</w:t>
      </w:r>
      <w:r w:rsidR="001745C9">
        <w:rPr>
          <w:sz w:val="24"/>
          <w:szCs w:val="24"/>
        </w:rPr>
        <w:t>s</w:t>
      </w:r>
      <w:r w:rsidR="00D8452B">
        <w:rPr>
          <w:sz w:val="24"/>
          <w:szCs w:val="24"/>
        </w:rPr>
        <w:t>.</w:t>
      </w:r>
    </w:p>
    <w:p w14:paraId="487266E0" w14:textId="18C8597C" w:rsidR="00EA23D2" w:rsidRDefault="00631614" w:rsidP="0074565A">
      <w:pPr>
        <w:pStyle w:val="ListParagraph"/>
        <w:numPr>
          <w:ilvl w:val="0"/>
          <w:numId w:val="3"/>
        </w:numPr>
        <w:ind w:left="360"/>
        <w:rPr>
          <w:sz w:val="24"/>
          <w:szCs w:val="24"/>
        </w:rPr>
      </w:pPr>
      <w:r w:rsidRPr="00C57261">
        <w:rPr>
          <w:i/>
          <w:iCs/>
          <w:sz w:val="24"/>
          <w:szCs w:val="24"/>
        </w:rPr>
        <w:t>No explicit statutory requirement for</w:t>
      </w:r>
      <w:r>
        <w:rPr>
          <w:i/>
          <w:iCs/>
          <w:sz w:val="24"/>
          <w:szCs w:val="24"/>
        </w:rPr>
        <w:t xml:space="preserve"> upfront</w:t>
      </w:r>
      <w:r w:rsidRPr="00C57261">
        <w:rPr>
          <w:i/>
          <w:iCs/>
          <w:sz w:val="24"/>
          <w:szCs w:val="24"/>
        </w:rPr>
        <w:t xml:space="preserve"> LUC incorporation.</w:t>
      </w:r>
      <w:r>
        <w:rPr>
          <w:sz w:val="24"/>
          <w:szCs w:val="24"/>
        </w:rPr>
        <w:t xml:space="preserve"> </w:t>
      </w:r>
      <w:r w:rsidRPr="00C57261">
        <w:rPr>
          <w:sz w:val="24"/>
          <w:szCs w:val="24"/>
        </w:rPr>
        <w:t xml:space="preserve">As noted above, there is nothing in Act 18 that explicitly requires the CHS to incorporate a land use component to a fuel’s lifecycle CI score. </w:t>
      </w:r>
      <w:r w:rsidR="00BC5F44">
        <w:rPr>
          <w:sz w:val="24"/>
          <w:szCs w:val="24"/>
        </w:rPr>
        <w:t>Indeed</w:t>
      </w:r>
      <w:r w:rsidRPr="00C57261">
        <w:rPr>
          <w:sz w:val="24"/>
          <w:szCs w:val="24"/>
        </w:rPr>
        <w:t xml:space="preserve">, the wording in Section 8128(a)(3) suggests the Legislature intended land use change to be considered </w:t>
      </w:r>
      <w:r w:rsidRPr="00C57261">
        <w:rPr>
          <w:sz w:val="24"/>
          <w:szCs w:val="24"/>
          <w:u w:val="single"/>
        </w:rPr>
        <w:t>retrospectively</w:t>
      </w:r>
      <w:r w:rsidRPr="00C57261">
        <w:rPr>
          <w:sz w:val="24"/>
          <w:szCs w:val="24"/>
        </w:rPr>
        <w:t xml:space="preserve"> as part of the TAG’s ongoing duties </w:t>
      </w:r>
      <w:r w:rsidRPr="00C57261">
        <w:rPr>
          <w:sz w:val="24"/>
          <w:szCs w:val="24"/>
          <w:u w:val="single"/>
        </w:rPr>
        <w:t>after</w:t>
      </w:r>
      <w:r w:rsidRPr="00C57261">
        <w:rPr>
          <w:sz w:val="24"/>
          <w:szCs w:val="24"/>
        </w:rPr>
        <w:t xml:space="preserve"> the CHS is adopted (i.e., assisting the PUC with “ongoing management of the CHS,” including “periodically assessing and reporting…on the sustainability [of clean heat measures]”). This ongoing assessment includes looking at a variety of factors, with land use change being just one of many different factors identified</w:t>
      </w:r>
      <w:r>
        <w:rPr>
          <w:sz w:val="24"/>
          <w:szCs w:val="24"/>
        </w:rPr>
        <w:t>, for potential impacts on the sustainability of clean heat measures being implemented</w:t>
      </w:r>
      <w:r w:rsidRPr="00C57261">
        <w:rPr>
          <w:sz w:val="24"/>
          <w:szCs w:val="24"/>
        </w:rPr>
        <w:t>.</w:t>
      </w:r>
      <w:r w:rsidR="00B82E3C">
        <w:rPr>
          <w:sz w:val="24"/>
          <w:szCs w:val="24"/>
        </w:rPr>
        <w:t xml:space="preserve"> This “look back” intent is reinforced by Section 8127(h)</w:t>
      </w:r>
      <w:r w:rsidR="00173F15">
        <w:rPr>
          <w:sz w:val="24"/>
          <w:szCs w:val="24"/>
        </w:rPr>
        <w:t xml:space="preserve"> [“Review of Consequences”]</w:t>
      </w:r>
      <w:r w:rsidR="00B82E3C">
        <w:rPr>
          <w:sz w:val="24"/>
          <w:szCs w:val="24"/>
        </w:rPr>
        <w:t>, which direct</w:t>
      </w:r>
      <w:r w:rsidR="00173F15">
        <w:rPr>
          <w:sz w:val="24"/>
          <w:szCs w:val="24"/>
        </w:rPr>
        <w:t>s</w:t>
      </w:r>
      <w:r w:rsidR="00B82E3C">
        <w:rPr>
          <w:sz w:val="24"/>
          <w:szCs w:val="24"/>
        </w:rPr>
        <w:t xml:space="preserve"> the PUC to assess every two years</w:t>
      </w:r>
      <w:r w:rsidR="00173F15">
        <w:rPr>
          <w:sz w:val="24"/>
          <w:szCs w:val="24"/>
        </w:rPr>
        <w:t xml:space="preserve"> the</w:t>
      </w:r>
      <w:r w:rsidR="00B82E3C">
        <w:rPr>
          <w:sz w:val="24"/>
          <w:szCs w:val="24"/>
        </w:rPr>
        <w:t xml:space="preserve"> potential consequences </w:t>
      </w:r>
      <w:r w:rsidR="00173F15">
        <w:rPr>
          <w:sz w:val="24"/>
          <w:szCs w:val="24"/>
        </w:rPr>
        <w:t>of a clean heat measure, including but not limited to “deforestation or forest degradation” and “conversion of grasslands,” two typical types of land use change.</w:t>
      </w:r>
    </w:p>
    <w:p w14:paraId="13EE7EC1" w14:textId="1AA9DB49" w:rsidR="00E5678B" w:rsidRDefault="00631614" w:rsidP="0074565A">
      <w:pPr>
        <w:pStyle w:val="ListParagraph"/>
        <w:numPr>
          <w:ilvl w:val="0"/>
          <w:numId w:val="3"/>
        </w:numPr>
        <w:ind w:left="360"/>
        <w:rPr>
          <w:sz w:val="24"/>
          <w:szCs w:val="24"/>
        </w:rPr>
      </w:pPr>
      <w:r>
        <w:rPr>
          <w:i/>
          <w:iCs/>
          <w:sz w:val="24"/>
          <w:szCs w:val="24"/>
        </w:rPr>
        <w:t>OD correctly identified</w:t>
      </w:r>
      <w:r w:rsidR="00421B51">
        <w:rPr>
          <w:i/>
          <w:iCs/>
          <w:sz w:val="24"/>
          <w:szCs w:val="24"/>
        </w:rPr>
        <w:t xml:space="preserve"> sound and</w:t>
      </w:r>
      <w:r>
        <w:rPr>
          <w:i/>
          <w:iCs/>
          <w:sz w:val="24"/>
          <w:szCs w:val="24"/>
        </w:rPr>
        <w:t xml:space="preserve"> reasonable bases for excluding LUC.</w:t>
      </w:r>
      <w:r>
        <w:rPr>
          <w:sz w:val="24"/>
          <w:szCs w:val="24"/>
        </w:rPr>
        <w:t xml:space="preserve"> As OD stated, LUC treatment (both direct LUC and indirect LUC) is inconsistent within the GREET model. Making the inputs and assumptions consistent among the various biofuels currently in or expected to be available to the region will require substantial additional expenditure of public resources for little or no gain:</w:t>
      </w:r>
    </w:p>
    <w:p w14:paraId="63822AF6" w14:textId="113ABEBE" w:rsidR="00E5678B" w:rsidRDefault="00631614" w:rsidP="0074565A">
      <w:pPr>
        <w:pStyle w:val="ListParagraph"/>
        <w:numPr>
          <w:ilvl w:val="1"/>
          <w:numId w:val="3"/>
        </w:numPr>
        <w:ind w:left="720"/>
        <w:rPr>
          <w:sz w:val="24"/>
          <w:szCs w:val="24"/>
        </w:rPr>
      </w:pPr>
      <w:r>
        <w:rPr>
          <w:sz w:val="24"/>
          <w:szCs w:val="24"/>
        </w:rPr>
        <w:t xml:space="preserve">ILUC modeling typically costs in the tens to hundreds of thousands of dollars, depending on </w:t>
      </w:r>
      <w:r w:rsidR="0074565A">
        <w:rPr>
          <w:sz w:val="24"/>
          <w:szCs w:val="24"/>
        </w:rPr>
        <w:t xml:space="preserve">the </w:t>
      </w:r>
      <w:r>
        <w:rPr>
          <w:sz w:val="24"/>
          <w:szCs w:val="24"/>
        </w:rPr>
        <w:t>analyses requested. It requires specialized expertise in agroeconomics and is typically done by experienced academic institutions</w:t>
      </w:r>
    </w:p>
    <w:p w14:paraId="7733E6FC" w14:textId="4C19BFE2" w:rsidR="0099281F" w:rsidRDefault="00631614" w:rsidP="0074565A">
      <w:pPr>
        <w:pStyle w:val="ListParagraph"/>
        <w:numPr>
          <w:ilvl w:val="1"/>
          <w:numId w:val="3"/>
        </w:numPr>
        <w:ind w:left="720"/>
        <w:rPr>
          <w:sz w:val="24"/>
          <w:szCs w:val="24"/>
        </w:rPr>
      </w:pPr>
      <w:r>
        <w:rPr>
          <w:sz w:val="24"/>
          <w:szCs w:val="24"/>
        </w:rPr>
        <w:t>ILUC modeling is highly uncertain</w:t>
      </w:r>
      <w:r w:rsidR="0074565A">
        <w:rPr>
          <w:sz w:val="24"/>
          <w:szCs w:val="24"/>
        </w:rPr>
        <w:t xml:space="preserve">, controversial, heavily dependent </w:t>
      </w:r>
      <w:r>
        <w:rPr>
          <w:sz w:val="24"/>
          <w:szCs w:val="24"/>
        </w:rPr>
        <w:t>on the inputs and assumptions used as well as the expertise of the modeler in interpreting the data</w:t>
      </w:r>
      <w:r w:rsidR="00A3731E">
        <w:rPr>
          <w:sz w:val="24"/>
          <w:szCs w:val="24"/>
        </w:rPr>
        <w:t>, and by its nature, cannot be verified in the real world.</w:t>
      </w:r>
      <w:r w:rsidR="00A3731E">
        <w:rPr>
          <w:rStyle w:val="FootnoteReference"/>
          <w:sz w:val="24"/>
          <w:szCs w:val="24"/>
        </w:rPr>
        <w:footnoteReference w:id="7"/>
      </w:r>
    </w:p>
    <w:p w14:paraId="25B32BE2" w14:textId="047C6ADB" w:rsidR="0099281F" w:rsidRDefault="00631614" w:rsidP="0074565A">
      <w:pPr>
        <w:pStyle w:val="ListParagraph"/>
        <w:numPr>
          <w:ilvl w:val="1"/>
          <w:numId w:val="3"/>
        </w:numPr>
        <w:ind w:left="720"/>
        <w:rPr>
          <w:sz w:val="24"/>
          <w:szCs w:val="24"/>
        </w:rPr>
      </w:pPr>
      <w:r>
        <w:rPr>
          <w:sz w:val="24"/>
          <w:szCs w:val="24"/>
        </w:rPr>
        <w:t xml:space="preserve">Nevertheless, the </w:t>
      </w:r>
      <w:r w:rsidR="0074565A">
        <w:rPr>
          <w:sz w:val="24"/>
          <w:szCs w:val="24"/>
        </w:rPr>
        <w:t xml:space="preserve">trend shows that </w:t>
      </w:r>
      <w:r w:rsidR="00A3731E">
        <w:rPr>
          <w:sz w:val="24"/>
          <w:szCs w:val="24"/>
        </w:rPr>
        <w:t xml:space="preserve">as </w:t>
      </w:r>
      <w:r w:rsidR="0074565A">
        <w:rPr>
          <w:sz w:val="24"/>
          <w:szCs w:val="24"/>
        </w:rPr>
        <w:t xml:space="preserve">researchers </w:t>
      </w:r>
      <w:r w:rsidR="00A3731E">
        <w:rPr>
          <w:sz w:val="24"/>
          <w:szCs w:val="24"/>
        </w:rPr>
        <w:t xml:space="preserve">have refined ILUC models to incorporate more nuance and understanding of agricultural and fuel markets, the </w:t>
      </w:r>
      <w:r w:rsidR="00A3731E">
        <w:rPr>
          <w:sz w:val="24"/>
          <w:szCs w:val="24"/>
        </w:rPr>
        <w:lastRenderedPageBreak/>
        <w:t xml:space="preserve">resulting </w:t>
      </w:r>
      <w:r w:rsidR="0074565A">
        <w:rPr>
          <w:sz w:val="24"/>
          <w:szCs w:val="24"/>
        </w:rPr>
        <w:t xml:space="preserve">impacts </w:t>
      </w:r>
      <w:r w:rsidR="00A3731E">
        <w:rPr>
          <w:sz w:val="24"/>
          <w:szCs w:val="24"/>
        </w:rPr>
        <w:t>have continuously declined</w:t>
      </w:r>
      <w:r w:rsidR="0074565A">
        <w:rPr>
          <w:sz w:val="24"/>
          <w:szCs w:val="24"/>
        </w:rPr>
        <w:t xml:space="preserve">. </w:t>
      </w:r>
      <w:r>
        <w:rPr>
          <w:sz w:val="24"/>
          <w:szCs w:val="24"/>
        </w:rPr>
        <w:t xml:space="preserve">ILUC </w:t>
      </w:r>
      <w:r w:rsidR="0074565A">
        <w:rPr>
          <w:sz w:val="24"/>
          <w:szCs w:val="24"/>
        </w:rPr>
        <w:t xml:space="preserve">estimates </w:t>
      </w:r>
      <w:r>
        <w:rPr>
          <w:sz w:val="24"/>
          <w:szCs w:val="24"/>
        </w:rPr>
        <w:t xml:space="preserve">for soybean oil have been reduced by over 95% since the initial estimates of soy ILUC at 300+ g/CO2e/MJ (early 2000s) to the current </w:t>
      </w:r>
      <w:r w:rsidR="0074565A">
        <w:rPr>
          <w:sz w:val="24"/>
          <w:szCs w:val="24"/>
        </w:rPr>
        <w:t xml:space="preserve">2023 </w:t>
      </w:r>
      <w:r>
        <w:rPr>
          <w:sz w:val="24"/>
          <w:szCs w:val="24"/>
        </w:rPr>
        <w:t>estimate by Purdue University, developer of the widely used Global Trade Analysis Project (GTAP) ILUC model</w:t>
      </w:r>
      <w:r w:rsidR="0074565A">
        <w:rPr>
          <w:sz w:val="24"/>
          <w:szCs w:val="24"/>
        </w:rPr>
        <w:t>. Purdue estimated an ILUC</w:t>
      </w:r>
      <w:r>
        <w:rPr>
          <w:sz w:val="24"/>
          <w:szCs w:val="24"/>
        </w:rPr>
        <w:t xml:space="preserve"> of about 9.1-9.7 g CO2e/MJ, estimated for a California-scale volume shock (3.22 billion gallons)</w:t>
      </w:r>
      <w:r w:rsidR="0074565A">
        <w:rPr>
          <w:sz w:val="24"/>
          <w:szCs w:val="24"/>
        </w:rPr>
        <w:t>.</w:t>
      </w:r>
      <w:r>
        <w:rPr>
          <w:rStyle w:val="FootnoteReference"/>
          <w:sz w:val="24"/>
          <w:szCs w:val="24"/>
        </w:rPr>
        <w:footnoteReference w:id="8"/>
      </w:r>
      <w:r w:rsidR="0074565A">
        <w:rPr>
          <w:sz w:val="24"/>
          <w:szCs w:val="24"/>
        </w:rPr>
        <w:t xml:space="preserve"> By contrast, the current CARB (2015) estimate for soy ILUC is 29.1 gCO2e/MJ, based on outdated data that is twenty years old and on a shock volume of 812 million gallons, whereas the most recent Purdue estimate (using the same GTAP model but update</w:t>
      </w:r>
      <w:r w:rsidR="004F5CAA">
        <w:rPr>
          <w:sz w:val="24"/>
          <w:szCs w:val="24"/>
        </w:rPr>
        <w:t>d</w:t>
      </w:r>
      <w:r w:rsidR="0074565A">
        <w:rPr>
          <w:sz w:val="24"/>
          <w:szCs w:val="24"/>
        </w:rPr>
        <w:t xml:space="preserve"> with more recent data) shows 1/3 of the current CARB estimate (9.7 gCO2e/MJ) at </w:t>
      </w:r>
      <w:r w:rsidR="004F5CAA">
        <w:rPr>
          <w:sz w:val="24"/>
          <w:szCs w:val="24"/>
        </w:rPr>
        <w:t>four</w:t>
      </w:r>
      <w:r w:rsidR="0074565A">
        <w:rPr>
          <w:sz w:val="24"/>
          <w:szCs w:val="24"/>
        </w:rPr>
        <w:t xml:space="preserve"> times the shock volume CARB used (3.22 billion gallons vs. 812 million gallons) </w:t>
      </w:r>
    </w:p>
    <w:p w14:paraId="1560E359" w14:textId="45CB54BC" w:rsidR="00E5678B" w:rsidRDefault="00631614" w:rsidP="0074565A">
      <w:pPr>
        <w:pStyle w:val="ListParagraph"/>
        <w:numPr>
          <w:ilvl w:val="1"/>
          <w:numId w:val="3"/>
        </w:numPr>
        <w:ind w:left="720"/>
        <w:rPr>
          <w:sz w:val="24"/>
          <w:szCs w:val="24"/>
        </w:rPr>
      </w:pPr>
      <w:r>
        <w:rPr>
          <w:sz w:val="24"/>
          <w:szCs w:val="24"/>
        </w:rPr>
        <w:t>The crops from which a small percentage of lipids would be used for this program are already grown sustainably on land that was in productive use before 2008 (a requirement for fuels to receive credit under the federal Renewable Fuel Standard). Therefore, no deforestation or other adverse change in land use would be expected to result from production of</w:t>
      </w:r>
      <w:r w:rsidR="0094201B">
        <w:rPr>
          <w:sz w:val="24"/>
          <w:szCs w:val="24"/>
        </w:rPr>
        <w:t xml:space="preserve"> crop-based</w:t>
      </w:r>
      <w:r>
        <w:rPr>
          <w:sz w:val="24"/>
          <w:szCs w:val="24"/>
        </w:rPr>
        <w:t xml:space="preserve"> biofuels to meet the CHS requirements</w:t>
      </w:r>
      <w:r w:rsidR="00BC5F44">
        <w:rPr>
          <w:sz w:val="24"/>
          <w:szCs w:val="24"/>
        </w:rPr>
        <w:t>; the U.S. and Canada can easily absorb Vermont’s demand for biofuel feedstock without converting additional acreage.</w:t>
      </w:r>
    </w:p>
    <w:p w14:paraId="46491F61" w14:textId="42A372ED" w:rsidR="00E5678B" w:rsidRDefault="00631614" w:rsidP="0074565A">
      <w:pPr>
        <w:pStyle w:val="ListParagraph"/>
        <w:numPr>
          <w:ilvl w:val="1"/>
          <w:numId w:val="3"/>
        </w:numPr>
        <w:ind w:left="720"/>
        <w:rPr>
          <w:sz w:val="24"/>
          <w:szCs w:val="24"/>
        </w:rPr>
      </w:pPr>
      <w:r>
        <w:rPr>
          <w:sz w:val="24"/>
          <w:szCs w:val="24"/>
        </w:rPr>
        <w:t>Total U.S. consumption of biodiesel</w:t>
      </w:r>
      <w:r w:rsidR="00B80080">
        <w:rPr>
          <w:sz w:val="24"/>
          <w:szCs w:val="24"/>
        </w:rPr>
        <w:t>,</w:t>
      </w:r>
      <w:r>
        <w:rPr>
          <w:sz w:val="24"/>
          <w:szCs w:val="24"/>
        </w:rPr>
        <w:t xml:space="preserve"> renewable diesel</w:t>
      </w:r>
      <w:r w:rsidR="00B80080">
        <w:rPr>
          <w:sz w:val="24"/>
          <w:szCs w:val="24"/>
        </w:rPr>
        <w:t>, and renewable heating oil</w:t>
      </w:r>
      <w:r>
        <w:rPr>
          <w:sz w:val="24"/>
          <w:szCs w:val="24"/>
        </w:rPr>
        <w:t xml:space="preserve"> was </w:t>
      </w:r>
      <w:r w:rsidR="00B80080">
        <w:rPr>
          <w:sz w:val="24"/>
          <w:szCs w:val="24"/>
        </w:rPr>
        <w:t>4.6-4.8</w:t>
      </w:r>
      <w:r>
        <w:rPr>
          <w:sz w:val="24"/>
          <w:szCs w:val="24"/>
        </w:rPr>
        <w:t xml:space="preserve"> billion gallons in 202</w:t>
      </w:r>
      <w:r w:rsidR="00B80080">
        <w:rPr>
          <w:sz w:val="24"/>
          <w:szCs w:val="24"/>
        </w:rPr>
        <w:t>3.</w:t>
      </w:r>
      <w:r>
        <w:rPr>
          <w:rStyle w:val="FootnoteReference"/>
          <w:sz w:val="24"/>
          <w:szCs w:val="24"/>
        </w:rPr>
        <w:footnoteReference w:id="9"/>
      </w:r>
      <w:r>
        <w:rPr>
          <w:sz w:val="24"/>
          <w:szCs w:val="24"/>
        </w:rPr>
        <w:t xml:space="preserve">  </w:t>
      </w:r>
      <w:r w:rsidR="00317939">
        <w:rPr>
          <w:sz w:val="24"/>
          <w:szCs w:val="24"/>
        </w:rPr>
        <w:t xml:space="preserve">Less than half that amount (48.3% by weight) </w:t>
      </w:r>
      <w:r w:rsidR="006C073B">
        <w:rPr>
          <w:sz w:val="24"/>
          <w:szCs w:val="24"/>
        </w:rPr>
        <w:t>was</w:t>
      </w:r>
      <w:r w:rsidR="00317939">
        <w:rPr>
          <w:sz w:val="24"/>
          <w:szCs w:val="24"/>
        </w:rPr>
        <w:t xml:space="preserve"> produced from soybean oil and canola oil, or about 2.2-2.3 billion</w:t>
      </w:r>
      <w:r>
        <w:rPr>
          <w:rStyle w:val="FootnoteReference"/>
          <w:sz w:val="24"/>
          <w:szCs w:val="24"/>
        </w:rPr>
        <w:footnoteReference w:id="10"/>
      </w:r>
      <w:r w:rsidR="00317939">
        <w:rPr>
          <w:sz w:val="24"/>
          <w:szCs w:val="24"/>
        </w:rPr>
        <w:t xml:space="preserve"> gallons of crop-based biodiesel and renewable diesel</w:t>
      </w:r>
      <w:r w:rsidR="006C073B">
        <w:rPr>
          <w:sz w:val="24"/>
          <w:szCs w:val="24"/>
        </w:rPr>
        <w:t xml:space="preserve"> sustainably grown on land designated for this use since 2008</w:t>
      </w:r>
      <w:r w:rsidR="00317939">
        <w:rPr>
          <w:sz w:val="24"/>
          <w:szCs w:val="24"/>
        </w:rPr>
        <w:t>.</w:t>
      </w:r>
    </w:p>
    <w:p w14:paraId="32C1CE5F" w14:textId="2B90C93C" w:rsidR="00BB4ED7" w:rsidRDefault="00631614" w:rsidP="00BB4ED7">
      <w:pPr>
        <w:pStyle w:val="ListParagraph"/>
        <w:numPr>
          <w:ilvl w:val="1"/>
          <w:numId w:val="3"/>
        </w:numPr>
        <w:ind w:left="720"/>
        <w:rPr>
          <w:sz w:val="24"/>
          <w:szCs w:val="24"/>
        </w:rPr>
      </w:pPr>
      <w:r>
        <w:rPr>
          <w:sz w:val="24"/>
          <w:szCs w:val="24"/>
        </w:rPr>
        <w:t xml:space="preserve">Vermont’s heating oil consumption </w:t>
      </w:r>
      <w:r w:rsidR="006C073B">
        <w:rPr>
          <w:sz w:val="24"/>
          <w:szCs w:val="24"/>
        </w:rPr>
        <w:t xml:space="preserve">in the residential and commercial sectors was about </w:t>
      </w:r>
      <w:r>
        <w:rPr>
          <w:sz w:val="24"/>
          <w:szCs w:val="24"/>
        </w:rPr>
        <w:t>10</w:t>
      </w:r>
      <w:r w:rsidR="006C073B">
        <w:rPr>
          <w:sz w:val="24"/>
          <w:szCs w:val="24"/>
        </w:rPr>
        <w:t>2</w:t>
      </w:r>
      <w:r>
        <w:rPr>
          <w:sz w:val="24"/>
          <w:szCs w:val="24"/>
        </w:rPr>
        <w:t xml:space="preserve"> million gallons</w:t>
      </w:r>
      <w:r w:rsidR="006C073B">
        <w:rPr>
          <w:sz w:val="24"/>
          <w:szCs w:val="24"/>
        </w:rPr>
        <w:t xml:space="preserve"> in 2020.</w:t>
      </w:r>
      <w:r>
        <w:rPr>
          <w:rStyle w:val="FootnoteReference"/>
          <w:sz w:val="24"/>
          <w:szCs w:val="24"/>
        </w:rPr>
        <w:footnoteReference w:id="11"/>
      </w:r>
      <w:r w:rsidR="006C073B">
        <w:rPr>
          <w:sz w:val="24"/>
          <w:szCs w:val="24"/>
        </w:rPr>
        <w:t xml:space="preserve"> </w:t>
      </w:r>
      <w:r w:rsidR="0074565A">
        <w:rPr>
          <w:sz w:val="24"/>
          <w:szCs w:val="24"/>
        </w:rPr>
        <w:t>GTAP m</w:t>
      </w:r>
      <w:r w:rsidR="0099281F">
        <w:rPr>
          <w:sz w:val="24"/>
          <w:szCs w:val="24"/>
        </w:rPr>
        <w:t xml:space="preserve">odeling </w:t>
      </w:r>
      <w:r w:rsidR="0074565A">
        <w:rPr>
          <w:sz w:val="24"/>
          <w:szCs w:val="24"/>
        </w:rPr>
        <w:t xml:space="preserve">of </w:t>
      </w:r>
      <w:r w:rsidR="0099281F">
        <w:rPr>
          <w:sz w:val="24"/>
          <w:szCs w:val="24"/>
        </w:rPr>
        <w:t xml:space="preserve">the ILUC that might occur from a policy like the CHS affecting such a small fraction of the overall U.S. consumption </w:t>
      </w:r>
      <w:r w:rsidR="00D5498D">
        <w:rPr>
          <w:sz w:val="24"/>
          <w:szCs w:val="24"/>
        </w:rPr>
        <w:t xml:space="preserve">might be technically feasible, but it would be an expensive exercise that </w:t>
      </w:r>
      <w:r w:rsidR="0099281F">
        <w:rPr>
          <w:sz w:val="24"/>
          <w:szCs w:val="24"/>
        </w:rPr>
        <w:t xml:space="preserve">would most likely result in meaningless numbers, essentially </w:t>
      </w:r>
      <w:r w:rsidR="0074565A">
        <w:rPr>
          <w:sz w:val="24"/>
          <w:szCs w:val="24"/>
        </w:rPr>
        <w:t xml:space="preserve">within the </w:t>
      </w:r>
      <w:r w:rsidR="0099281F">
        <w:rPr>
          <w:sz w:val="24"/>
          <w:szCs w:val="24"/>
        </w:rPr>
        <w:t xml:space="preserve">“noise” </w:t>
      </w:r>
    </w:p>
    <w:p w14:paraId="0F5065FE" w14:textId="546A8F4F" w:rsidR="00BC5F44" w:rsidRDefault="00BC5F44" w:rsidP="00BC5F44">
      <w:pPr>
        <w:pStyle w:val="ListParagraph"/>
        <w:numPr>
          <w:ilvl w:val="0"/>
          <w:numId w:val="3"/>
        </w:numPr>
        <w:ind w:left="360"/>
        <w:rPr>
          <w:sz w:val="24"/>
          <w:szCs w:val="24"/>
        </w:rPr>
      </w:pPr>
      <w:r>
        <w:rPr>
          <w:i/>
          <w:iCs/>
          <w:sz w:val="24"/>
          <w:szCs w:val="24"/>
        </w:rPr>
        <w:t xml:space="preserve">Inclusion of ILUC conflicts with Section 8127. </w:t>
      </w:r>
      <w:r>
        <w:rPr>
          <w:sz w:val="24"/>
          <w:szCs w:val="24"/>
        </w:rPr>
        <w:t>Since ILUC is, by definition, not directly measurable, it is inherently unverifiable. Therefore, including it in the CI scores would conflict with Section 8127’s requirement for verifiability.</w:t>
      </w:r>
    </w:p>
    <w:p w14:paraId="1AF1F714" w14:textId="6163B3E4" w:rsidR="00627EEC" w:rsidRDefault="00F03B61" w:rsidP="00627EEC">
      <w:pPr>
        <w:rPr>
          <w:sz w:val="24"/>
          <w:szCs w:val="24"/>
          <w:u w:val="single"/>
        </w:rPr>
      </w:pPr>
      <w:r>
        <w:rPr>
          <w:sz w:val="24"/>
          <w:szCs w:val="24"/>
          <w:u w:val="single"/>
        </w:rPr>
        <w:t>Support for</w:t>
      </w:r>
      <w:r w:rsidR="00631614" w:rsidRPr="00627EEC">
        <w:rPr>
          <w:sz w:val="24"/>
          <w:szCs w:val="24"/>
          <w:u w:val="single"/>
        </w:rPr>
        <w:t xml:space="preserve"> Option 2</w:t>
      </w:r>
      <w:r w:rsidR="00A81B18">
        <w:rPr>
          <w:sz w:val="24"/>
          <w:szCs w:val="24"/>
          <w:u w:val="single"/>
        </w:rPr>
        <w:t xml:space="preserve"> (Include LUC)</w:t>
      </w:r>
    </w:p>
    <w:p w14:paraId="000C86EB" w14:textId="48F92A9D" w:rsidR="00AB2880" w:rsidRDefault="00F03B61" w:rsidP="00F03B61">
      <w:pPr>
        <w:pStyle w:val="ListParagraph"/>
        <w:numPr>
          <w:ilvl w:val="0"/>
          <w:numId w:val="3"/>
        </w:numPr>
        <w:ind w:left="360"/>
        <w:rPr>
          <w:sz w:val="24"/>
          <w:szCs w:val="24"/>
        </w:rPr>
      </w:pPr>
      <w:r>
        <w:rPr>
          <w:i/>
          <w:iCs/>
          <w:sz w:val="24"/>
          <w:szCs w:val="24"/>
        </w:rPr>
        <w:t xml:space="preserve">Statutory requirement that </w:t>
      </w:r>
      <w:proofErr w:type="gramStart"/>
      <w:r>
        <w:rPr>
          <w:i/>
          <w:iCs/>
          <w:sz w:val="24"/>
          <w:szCs w:val="24"/>
        </w:rPr>
        <w:t>clean</w:t>
      </w:r>
      <w:proofErr w:type="gramEnd"/>
      <w:r>
        <w:rPr>
          <w:i/>
          <w:iCs/>
          <w:sz w:val="24"/>
          <w:szCs w:val="24"/>
        </w:rPr>
        <w:t xml:space="preserve"> heat measures be evaluated base</w:t>
      </w:r>
      <w:r w:rsidR="00AB2880">
        <w:rPr>
          <w:i/>
          <w:iCs/>
          <w:sz w:val="24"/>
          <w:szCs w:val="24"/>
        </w:rPr>
        <w:t>d</w:t>
      </w:r>
      <w:r>
        <w:rPr>
          <w:i/>
          <w:iCs/>
          <w:sz w:val="24"/>
          <w:szCs w:val="24"/>
        </w:rPr>
        <w:t xml:space="preserve"> on fuel pathway, which includes feedstock generation, and loss of stored carbon</w:t>
      </w:r>
      <w:r w:rsidRPr="00C57261">
        <w:rPr>
          <w:i/>
          <w:iCs/>
          <w:sz w:val="24"/>
          <w:szCs w:val="24"/>
        </w:rPr>
        <w:t>.</w:t>
      </w:r>
      <w:r>
        <w:rPr>
          <w:sz w:val="24"/>
          <w:szCs w:val="24"/>
        </w:rPr>
        <w:t xml:space="preserve"> </w:t>
      </w:r>
      <w:r w:rsidRPr="00C57261">
        <w:rPr>
          <w:sz w:val="24"/>
          <w:szCs w:val="24"/>
        </w:rPr>
        <w:t xml:space="preserve">As noted above, Act 18 explicitly requires </w:t>
      </w:r>
      <w:r>
        <w:rPr>
          <w:sz w:val="24"/>
          <w:szCs w:val="24"/>
        </w:rPr>
        <w:t xml:space="preserve">that the </w:t>
      </w:r>
      <w:r w:rsidR="007A04E0">
        <w:rPr>
          <w:sz w:val="24"/>
          <w:szCs w:val="24"/>
        </w:rPr>
        <w:t>CI</w:t>
      </w:r>
      <w:r>
        <w:rPr>
          <w:sz w:val="24"/>
          <w:szCs w:val="24"/>
        </w:rPr>
        <w:t xml:space="preserve"> account for the specific fuel pathway, which includes feedstock </w:t>
      </w:r>
      <w:r>
        <w:rPr>
          <w:sz w:val="24"/>
          <w:szCs w:val="24"/>
        </w:rPr>
        <w:lastRenderedPageBreak/>
        <w:t>generation. It is incomplete to evaluate a biofuel without also including how land would be used but for the feedstock generation</w:t>
      </w:r>
      <w:r w:rsidR="00AB2880">
        <w:rPr>
          <w:sz w:val="24"/>
          <w:szCs w:val="24"/>
        </w:rPr>
        <w:t>.</w:t>
      </w:r>
    </w:p>
    <w:p w14:paraId="6C38C084" w14:textId="234F1F43" w:rsidR="00AB2880" w:rsidRPr="00BB569E" w:rsidRDefault="00AB2880" w:rsidP="00BB569E">
      <w:pPr>
        <w:pStyle w:val="ListParagraph"/>
        <w:numPr>
          <w:ilvl w:val="0"/>
          <w:numId w:val="3"/>
        </w:numPr>
        <w:ind w:left="360"/>
        <w:rPr>
          <w:sz w:val="24"/>
          <w:szCs w:val="24"/>
        </w:rPr>
      </w:pPr>
      <w:r w:rsidRPr="00BB569E">
        <w:rPr>
          <w:i/>
          <w:iCs/>
          <w:sz w:val="24"/>
          <w:szCs w:val="24"/>
        </w:rPr>
        <w:t xml:space="preserve">OD noted that it is </w:t>
      </w:r>
      <w:r w:rsidRPr="00B401DF">
        <w:rPr>
          <w:b/>
          <w:bCs/>
          <w:i/>
          <w:iCs/>
          <w:sz w:val="24"/>
          <w:szCs w:val="24"/>
          <w:u w:val="single"/>
        </w:rPr>
        <w:t>not inappropriate</w:t>
      </w:r>
      <w:r w:rsidRPr="00BB569E">
        <w:rPr>
          <w:i/>
          <w:iCs/>
          <w:sz w:val="24"/>
          <w:szCs w:val="24"/>
        </w:rPr>
        <w:t xml:space="preserve"> to include LUC emissions, while also noting the added complexities.</w:t>
      </w:r>
      <w:r w:rsidRPr="00BB569E">
        <w:rPr>
          <w:sz w:val="24"/>
          <w:szCs w:val="24"/>
        </w:rPr>
        <w:t xml:space="preserve"> As can be seen from other jurisdictions, like with the California Air Resources Board’s (CARB) Low Carbon Fuel Standard (LCFS), just because there is inconsistent treatment of LUC emissions in GREET and other challenges does not mean that it is not more complete to include LUC emissions.</w:t>
      </w:r>
      <w:r>
        <w:rPr>
          <w:rStyle w:val="FootnoteReference"/>
          <w:sz w:val="24"/>
          <w:szCs w:val="24"/>
        </w:rPr>
        <w:footnoteReference w:id="12"/>
      </w:r>
      <w:r w:rsidRPr="00BB569E">
        <w:rPr>
          <w:sz w:val="24"/>
          <w:szCs w:val="24"/>
        </w:rPr>
        <w:t xml:space="preserve"> OD opted to make certain assumptions </w:t>
      </w:r>
      <w:r w:rsidRPr="00BB569E">
        <w:rPr>
          <w:sz w:val="24"/>
          <w:szCs w:val="24"/>
          <w:u w:val="single"/>
        </w:rPr>
        <w:t>and simplifications</w:t>
      </w:r>
      <w:r w:rsidRPr="00BB569E">
        <w:rPr>
          <w:sz w:val="24"/>
          <w:szCs w:val="24"/>
        </w:rPr>
        <w:t xml:space="preserve">, but an option could be to </w:t>
      </w:r>
      <w:r w:rsidR="007A04E0" w:rsidRPr="00BB569E">
        <w:rPr>
          <w:sz w:val="24"/>
          <w:szCs w:val="24"/>
        </w:rPr>
        <w:t>use the accounting that has already been done by CARB for the LCFS to create default LUC emissions for use in determining CI scores.</w:t>
      </w:r>
      <w:r w:rsidR="007A04E0">
        <w:rPr>
          <w:rStyle w:val="FootnoteReference"/>
          <w:sz w:val="24"/>
          <w:szCs w:val="24"/>
        </w:rPr>
        <w:footnoteReference w:id="13"/>
      </w:r>
      <w:r w:rsidR="00BB569E" w:rsidRPr="00BB569E">
        <w:rPr>
          <w:sz w:val="24"/>
          <w:szCs w:val="24"/>
        </w:rPr>
        <w:t xml:space="preserve"> </w:t>
      </w:r>
      <w:r w:rsidR="00244F2A">
        <w:rPr>
          <w:sz w:val="24"/>
          <w:szCs w:val="24"/>
        </w:rPr>
        <w:t>It’s also worth noting that t</w:t>
      </w:r>
      <w:r w:rsidR="00BB569E" w:rsidRPr="00BB569E">
        <w:rPr>
          <w:sz w:val="24"/>
          <w:szCs w:val="24"/>
        </w:rPr>
        <w:t xml:space="preserve">he question of LUC impacts has been extensively discussed in the US EPA Renewable Fuel Standard. EPA includes LUC impacts </w:t>
      </w:r>
      <w:r w:rsidR="002715A9">
        <w:rPr>
          <w:sz w:val="24"/>
          <w:szCs w:val="24"/>
        </w:rPr>
        <w:t xml:space="preserve">for its national policies </w:t>
      </w:r>
      <w:r w:rsidR="00BB569E" w:rsidRPr="00BB569E">
        <w:rPr>
          <w:sz w:val="24"/>
          <w:szCs w:val="24"/>
        </w:rPr>
        <w:t>and has done extensive work to analyze the state of the literature. Excluding LUC would be inconsistent with the approach taken by US EPA, which has put more time into this question than any other agency in the US.</w:t>
      </w:r>
    </w:p>
    <w:p w14:paraId="775EDBAE" w14:textId="20A7C043" w:rsidR="00F03B61" w:rsidRPr="00B03994" w:rsidRDefault="00F03B61" w:rsidP="00F03B61">
      <w:pPr>
        <w:pStyle w:val="ListParagraph"/>
        <w:numPr>
          <w:ilvl w:val="0"/>
          <w:numId w:val="3"/>
        </w:numPr>
        <w:ind w:left="360"/>
        <w:rPr>
          <w:sz w:val="24"/>
          <w:szCs w:val="24"/>
        </w:rPr>
      </w:pPr>
      <w:r>
        <w:rPr>
          <w:i/>
          <w:iCs/>
          <w:sz w:val="24"/>
          <w:szCs w:val="24"/>
        </w:rPr>
        <w:t xml:space="preserve">Inclusion of LUC emissions </w:t>
      </w:r>
      <w:proofErr w:type="gramStart"/>
      <w:r>
        <w:rPr>
          <w:i/>
          <w:iCs/>
          <w:sz w:val="24"/>
          <w:szCs w:val="24"/>
        </w:rPr>
        <w:t>is</w:t>
      </w:r>
      <w:proofErr w:type="gramEnd"/>
      <w:r>
        <w:rPr>
          <w:i/>
          <w:iCs/>
          <w:sz w:val="24"/>
          <w:szCs w:val="24"/>
        </w:rPr>
        <w:t xml:space="preserve"> consistent with statutory requirements that CI scores be based on verifiable lifecycle CO2 emissions</w:t>
      </w:r>
      <w:r>
        <w:rPr>
          <w:sz w:val="24"/>
          <w:szCs w:val="24"/>
        </w:rPr>
        <w:t xml:space="preserve">. </w:t>
      </w:r>
      <w:r w:rsidR="007A04E0">
        <w:rPr>
          <w:sz w:val="24"/>
          <w:szCs w:val="24"/>
        </w:rPr>
        <w:t xml:space="preserve">Looking to other jurisdictions, such as CARB and the LCFS, it is common to require that greenhouse gas emissions reductions be “verifiable” even though it is technically preferred to refer to the separate </w:t>
      </w:r>
      <w:r w:rsidR="0045377F">
        <w:rPr>
          <w:sz w:val="24"/>
          <w:szCs w:val="24"/>
        </w:rPr>
        <w:t>components</w:t>
      </w:r>
      <w:r w:rsidR="007A04E0">
        <w:rPr>
          <w:sz w:val="24"/>
          <w:szCs w:val="24"/>
        </w:rPr>
        <w:t xml:space="preserve"> of “verification” </w:t>
      </w:r>
      <w:r w:rsidR="007A04E0">
        <w:rPr>
          <w:sz w:val="24"/>
          <w:szCs w:val="24"/>
          <w:u w:val="single"/>
        </w:rPr>
        <w:t>and</w:t>
      </w:r>
      <w:r w:rsidR="007A04E0">
        <w:rPr>
          <w:sz w:val="24"/>
          <w:szCs w:val="24"/>
        </w:rPr>
        <w:t xml:space="preserve"> “validation.”</w:t>
      </w:r>
      <w:r w:rsidR="00E533D5">
        <w:rPr>
          <w:rStyle w:val="FootnoteReference"/>
          <w:sz w:val="24"/>
          <w:szCs w:val="24"/>
        </w:rPr>
        <w:footnoteReference w:id="14"/>
      </w:r>
      <w:r w:rsidR="007A04E0">
        <w:rPr>
          <w:sz w:val="24"/>
          <w:szCs w:val="24"/>
        </w:rPr>
        <w:t xml:space="preserve"> Validation</w:t>
      </w:r>
      <w:r w:rsidR="0045377F">
        <w:rPr>
          <w:sz w:val="24"/>
          <w:szCs w:val="24"/>
        </w:rPr>
        <w:t xml:space="preserve">, as opposed to verification, needs to be </w:t>
      </w:r>
      <w:r w:rsidR="007A04E0">
        <w:rPr>
          <w:sz w:val="24"/>
          <w:szCs w:val="24"/>
        </w:rPr>
        <w:t xml:space="preserve">used </w:t>
      </w:r>
      <w:r w:rsidR="0045377F">
        <w:rPr>
          <w:sz w:val="24"/>
          <w:szCs w:val="24"/>
        </w:rPr>
        <w:t>when there is not observable evidence that substantiates a claim (such as with a counterfactual of LUC emissions). Including LUC emissions in CI scores in Vermont, even when those CI scores need to be verified</w:t>
      </w:r>
      <w:r w:rsidR="00556C3E">
        <w:rPr>
          <w:sz w:val="24"/>
          <w:szCs w:val="24"/>
        </w:rPr>
        <w:t xml:space="preserve"> (but not explicitly validated)</w:t>
      </w:r>
      <w:r w:rsidR="0045377F">
        <w:rPr>
          <w:sz w:val="24"/>
          <w:szCs w:val="24"/>
        </w:rPr>
        <w:t>, would be consistent with the approach that has been taken in other jurisdictions, such as with the LCFS.</w:t>
      </w:r>
      <w:r w:rsidR="0045377F">
        <w:rPr>
          <w:rStyle w:val="FootnoteReference"/>
          <w:sz w:val="24"/>
          <w:szCs w:val="24"/>
        </w:rPr>
        <w:footnoteReference w:id="15"/>
      </w:r>
      <w:r>
        <w:rPr>
          <w:i/>
          <w:iCs/>
          <w:sz w:val="24"/>
          <w:szCs w:val="24"/>
        </w:rPr>
        <w:t xml:space="preserve"> </w:t>
      </w:r>
    </w:p>
    <w:p w14:paraId="1FC8C9AA" w14:textId="5E4B77E9" w:rsidR="0045377F" w:rsidRDefault="0045377F" w:rsidP="00F03B61">
      <w:pPr>
        <w:pStyle w:val="ListParagraph"/>
        <w:numPr>
          <w:ilvl w:val="0"/>
          <w:numId w:val="3"/>
        </w:numPr>
        <w:ind w:left="360"/>
        <w:rPr>
          <w:sz w:val="24"/>
          <w:szCs w:val="24"/>
        </w:rPr>
      </w:pPr>
      <w:r>
        <w:rPr>
          <w:i/>
          <w:iCs/>
          <w:sz w:val="24"/>
          <w:szCs w:val="24"/>
        </w:rPr>
        <w:t>Other jurisdictions are considering increasing the LUC emissions that are incorporated into CI scores.</w:t>
      </w:r>
      <w:r>
        <w:rPr>
          <w:sz w:val="24"/>
          <w:szCs w:val="24"/>
        </w:rPr>
        <w:t xml:space="preserve"> Despite the complexity of LUC emissions, other regulatory bodies, such as CARB, are considering increasing LUC emissions and giving greater flexibility to increase the LUC emissions that are factored into a CI score in certain situations.</w:t>
      </w:r>
      <w:r>
        <w:rPr>
          <w:rStyle w:val="FootnoteReference"/>
          <w:sz w:val="24"/>
          <w:szCs w:val="24"/>
        </w:rPr>
        <w:footnoteReference w:id="16"/>
      </w:r>
    </w:p>
    <w:p w14:paraId="61F63F33" w14:textId="30488F8F" w:rsidR="0012432A" w:rsidRPr="00BC5F44" w:rsidRDefault="0012432A" w:rsidP="00F03B61">
      <w:pPr>
        <w:rPr>
          <w:sz w:val="24"/>
          <w:szCs w:val="24"/>
        </w:rPr>
      </w:pPr>
    </w:p>
    <w:sectPr w:rsidR="0012432A" w:rsidRPr="00BC5F44" w:rsidSect="00B401D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631B4" w14:textId="77777777" w:rsidR="00A84B10" w:rsidRDefault="00A84B10">
      <w:pPr>
        <w:spacing w:after="0" w:line="240" w:lineRule="auto"/>
      </w:pPr>
      <w:r>
        <w:separator/>
      </w:r>
    </w:p>
  </w:endnote>
  <w:endnote w:type="continuationSeparator" w:id="0">
    <w:p w14:paraId="09E54BC1" w14:textId="77777777" w:rsidR="00A84B10" w:rsidRDefault="00A84B10">
      <w:pPr>
        <w:spacing w:after="0" w:line="240" w:lineRule="auto"/>
      </w:pPr>
      <w:r>
        <w:continuationSeparator/>
      </w:r>
    </w:p>
  </w:endnote>
  <w:endnote w:type="continuationNotice" w:id="1">
    <w:p w14:paraId="26FB92C8" w14:textId="77777777" w:rsidR="00A84B10" w:rsidRDefault="00A84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1F6A1" w14:textId="77777777" w:rsidR="000A3F62" w:rsidRDefault="000A3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D3461" w14:textId="77777777" w:rsidR="00A84B10" w:rsidRDefault="00A84B10" w:rsidP="006A735C">
      <w:pPr>
        <w:spacing w:after="0" w:line="240" w:lineRule="auto"/>
      </w:pPr>
      <w:r>
        <w:separator/>
      </w:r>
    </w:p>
  </w:footnote>
  <w:footnote w:type="continuationSeparator" w:id="0">
    <w:p w14:paraId="0BA36F87" w14:textId="77777777" w:rsidR="00A84B10" w:rsidRDefault="00A84B10" w:rsidP="006A735C">
      <w:pPr>
        <w:spacing w:after="0" w:line="240" w:lineRule="auto"/>
      </w:pPr>
      <w:r>
        <w:continuationSeparator/>
      </w:r>
    </w:p>
  </w:footnote>
  <w:footnote w:type="continuationNotice" w:id="1">
    <w:p w14:paraId="77EF6EA1" w14:textId="77777777" w:rsidR="00A84B10" w:rsidRDefault="00A84B10">
      <w:pPr>
        <w:spacing w:after="0" w:line="240" w:lineRule="auto"/>
      </w:pPr>
    </w:p>
  </w:footnote>
  <w:footnote w:id="2">
    <w:p w14:paraId="5B0F675F" w14:textId="7229C9FA" w:rsidR="006A735C" w:rsidRDefault="00631614">
      <w:pPr>
        <w:pStyle w:val="FootnoteText"/>
      </w:pPr>
      <w:r>
        <w:rPr>
          <w:rStyle w:val="FootnoteReference"/>
        </w:rPr>
        <w:footnoteRef/>
      </w:r>
      <w:r>
        <w:t xml:space="preserve"> </w:t>
      </w:r>
      <w:r w:rsidR="00DC074C">
        <w:t>Draft Vermont Clean Heat Standard Lifecycle Emissions Rate Schedule</w:t>
      </w:r>
      <w:r>
        <w:t xml:space="preserve">, </w:t>
      </w:r>
      <w:r w:rsidR="00DC074C">
        <w:t>Aug</w:t>
      </w:r>
      <w:r>
        <w:t xml:space="preserve">. </w:t>
      </w:r>
      <w:r w:rsidR="00DC074C">
        <w:t>2</w:t>
      </w:r>
      <w:r>
        <w:t xml:space="preserve">9, 2024, at 7; OD Memo Response to </w:t>
      </w:r>
      <w:r w:rsidR="003D6769">
        <w:t xml:space="preserve">Sept. 17, 2024, </w:t>
      </w:r>
      <w:r>
        <w:t>TAG Questions, Oct. 2, 2024, at 2.</w:t>
      </w:r>
    </w:p>
  </w:footnote>
  <w:footnote w:id="3">
    <w:p w14:paraId="51D0D1C5" w14:textId="483671AF" w:rsidR="00BC5F44" w:rsidRDefault="00BC5F44">
      <w:pPr>
        <w:pStyle w:val="FootnoteText"/>
      </w:pPr>
      <w:r>
        <w:rPr>
          <w:rStyle w:val="FootnoteReference"/>
        </w:rPr>
        <w:footnoteRef/>
      </w:r>
      <w:r>
        <w:t xml:space="preserve"> Note: </w:t>
      </w:r>
      <w:r w:rsidRPr="00BC5F44">
        <w:t>ILUC modeling represents both direct and indirect LUC as an output – it’s really induced land use change. The models cannot separate the two.</w:t>
      </w:r>
      <w:r>
        <w:t xml:space="preserve"> Thus, for this discussion, we will refer to them collectively simply as “LUC</w:t>
      </w:r>
      <w:r w:rsidR="003D6769">
        <w:t>.</w:t>
      </w:r>
      <w:r>
        <w:t>”</w:t>
      </w:r>
    </w:p>
  </w:footnote>
  <w:footnote w:id="4">
    <w:p w14:paraId="14F6BAF7" w14:textId="1B48EAFD" w:rsidR="002F7951" w:rsidRPr="002F7951" w:rsidRDefault="002F7951" w:rsidP="002F7951">
      <w:pPr>
        <w:pStyle w:val="FootnoteText"/>
      </w:pPr>
      <w:r>
        <w:rPr>
          <w:rStyle w:val="FootnoteReference"/>
        </w:rPr>
        <w:footnoteRef/>
      </w:r>
      <w:r>
        <w:t xml:space="preserve"> Draft CHS Emissions Rate Schedule, op cit. a</w:t>
      </w:r>
      <w:r w:rsidRPr="002F7951">
        <w:t>t 7:</w:t>
      </w:r>
    </w:p>
    <w:p w14:paraId="586F4B74" w14:textId="34E7021E" w:rsidR="002F7951" w:rsidRPr="002F7951" w:rsidRDefault="002F7951" w:rsidP="00B401DF">
      <w:pPr>
        <w:pStyle w:val="FootnoteText"/>
        <w:ind w:left="360"/>
      </w:pPr>
      <w:r>
        <w:t>“</w:t>
      </w:r>
      <w:r w:rsidRPr="002F7951">
        <w:t>For biofuels developed from purpose grown crops and animal waste, our emissions analysis assumes that there is no change in land use associated with the biofuel that needs to be quantified in our emissions rates.</w:t>
      </w:r>
    </w:p>
    <w:p w14:paraId="40AE840C" w14:textId="77777777" w:rsidR="002F7951" w:rsidRPr="002F7951" w:rsidRDefault="002F7951" w:rsidP="002F7951">
      <w:pPr>
        <w:pStyle w:val="FootnoteText"/>
        <w:numPr>
          <w:ilvl w:val="0"/>
          <w:numId w:val="12"/>
        </w:numPr>
      </w:pPr>
      <w:r w:rsidRPr="002F7951">
        <w:t xml:space="preserve">Biofuels from purpose grown crops are currently predominately produced in the Midwestern United States. In our analysis, we assume that feedstock crops, such as soybeans, corn and canola, are grown on dedicated land for explicit use in the energy sector. This simplification, along with the uncertainty around the change in demand for these fuels nationally, and Vermont’s contribution to that demand, leads to our decision to not quantify the implications of land use change on upstream emissions. </w:t>
      </w:r>
    </w:p>
    <w:p w14:paraId="7745008C" w14:textId="64DE0A95" w:rsidR="002F7951" w:rsidRDefault="002F7951" w:rsidP="00B401DF">
      <w:pPr>
        <w:pStyle w:val="FootnoteText"/>
        <w:numPr>
          <w:ilvl w:val="0"/>
          <w:numId w:val="12"/>
        </w:numPr>
      </w:pPr>
      <w:r w:rsidRPr="002F7951">
        <w:t>For biofuels from animal waste, our analysis assumes no change in land use as the feedstock is a byproduct and not the primary driver for animal farms.</w:t>
      </w:r>
      <w:r w:rsidR="0001282C">
        <w:t>”</w:t>
      </w:r>
    </w:p>
  </w:footnote>
  <w:footnote w:id="5">
    <w:p w14:paraId="0191EA1B" w14:textId="69331A71" w:rsidR="0001282C" w:rsidRPr="0001282C" w:rsidRDefault="0001282C" w:rsidP="0001282C">
      <w:pPr>
        <w:pStyle w:val="FootnoteText"/>
      </w:pPr>
      <w:r>
        <w:rPr>
          <w:rStyle w:val="FootnoteReference"/>
        </w:rPr>
        <w:footnoteRef/>
      </w:r>
      <w:r>
        <w:t xml:space="preserve"> OD </w:t>
      </w:r>
      <w:r w:rsidRPr="0001282C">
        <w:t>10/2/24 response to the TAG’s 9/17/24 questions at p. 2:</w:t>
      </w:r>
    </w:p>
    <w:p w14:paraId="4FC18102" w14:textId="783785A0" w:rsidR="0001282C" w:rsidRDefault="0001282C" w:rsidP="00B401DF">
      <w:pPr>
        <w:pStyle w:val="FootnoteText"/>
        <w:ind w:left="360"/>
      </w:pPr>
      <w:r>
        <w:t>“</w:t>
      </w:r>
      <w:r w:rsidRPr="0001282C">
        <w:t xml:space="preserve">As we worked within GREET to account for LUCs, we determined that GREET is inconsistent how these impacts are accounted. For example, LUC impacts associated with soybeans include explicit input parameters, while other crop-based feedstocks do not. This resulted in additional challenges for proper accounting on top of issues like additionality. Lastly, our aim with the CHS is to produce a replicable and transparent resource that is easy to use. To achieve this, we made assumptions and simplifications to ensure that future revisions could replicate our numbers while also advancing its content. We appreciate the TAG’s comments on LUCs; we don’t believe that it is inappropriate to include LUCs, but </w:t>
      </w:r>
      <w:proofErr w:type="gramStart"/>
      <w:r w:rsidRPr="0001282C">
        <w:t>at this time</w:t>
      </w:r>
      <w:proofErr w:type="gramEnd"/>
      <w:r w:rsidRPr="0001282C">
        <w:t xml:space="preserve"> we don’t see a pathway to including them in our carbon intensity values.</w:t>
      </w:r>
      <w:r>
        <w:t>”</w:t>
      </w:r>
    </w:p>
  </w:footnote>
  <w:footnote w:id="6">
    <w:p w14:paraId="24056C29" w14:textId="268CF7DF" w:rsidR="005A085A" w:rsidRDefault="005A085A">
      <w:pPr>
        <w:pStyle w:val="FootnoteText"/>
      </w:pPr>
      <w:r>
        <w:rPr>
          <w:rStyle w:val="FootnoteReference"/>
        </w:rPr>
        <w:footnoteRef/>
      </w:r>
      <w:r>
        <w:t xml:space="preserve"> OD’s characterization of soybean and canola as “purpose grown” crops </w:t>
      </w:r>
      <w:proofErr w:type="gramStart"/>
      <w:r>
        <w:t>is</w:t>
      </w:r>
      <w:proofErr w:type="gramEnd"/>
      <w:r w:rsidR="0001282C">
        <w:t xml:space="preserve"> factually</w:t>
      </w:r>
      <w:r>
        <w:t xml:space="preserve"> inaccurate as it implies these crops are grown specifically for their oil content to be used for biofuel production. </w:t>
      </w:r>
      <w:r w:rsidR="00BC5F44">
        <w:t xml:space="preserve">However, all biofuel crops generate a variety of fuel and non-fuel products. </w:t>
      </w:r>
      <w:r>
        <w:t>For example, 80% of the biomass in soybeans is protein, which is used in animal feed and other protein applications. Only 20% of the bean mass is oil, and only a fraction of that oil is converted to biofuel. The remaining oil is used for industrial, commercial, and personal care products, along with a host of other applications.</w:t>
      </w:r>
    </w:p>
  </w:footnote>
  <w:footnote w:id="7">
    <w:p w14:paraId="092442A7" w14:textId="77777777" w:rsidR="00A3731E" w:rsidRDefault="00A3731E" w:rsidP="00A3731E">
      <w:pPr>
        <w:pStyle w:val="FootnoteText"/>
      </w:pPr>
      <w:r>
        <w:rPr>
          <w:rStyle w:val="FootnoteReference"/>
        </w:rPr>
        <w:footnoteRef/>
      </w:r>
      <w:r>
        <w:t xml:space="preserve"> To illustrate, </w:t>
      </w:r>
      <w:r w:rsidRPr="00BC5F44">
        <w:t>ILUC does not represent modeled changes in land use but a predetermined volume of increased biofuel production’s hypothetical impact on the rate of afforestation a</w:t>
      </w:r>
      <w:r>
        <w:t>nd</w:t>
      </w:r>
      <w:r w:rsidRPr="00BC5F44">
        <w:t>/o</w:t>
      </w:r>
      <w:r>
        <w:t>r</w:t>
      </w:r>
      <w:r w:rsidRPr="00BC5F44">
        <w:t xml:space="preserve"> deforestation. E.g., </w:t>
      </w:r>
      <w:r>
        <w:t>Empirical ILUC modeling results show</w:t>
      </w:r>
      <w:r w:rsidRPr="00BC5F44">
        <w:t xml:space="preserve"> acres of cropland conversion in U.S. domestic models</w:t>
      </w:r>
      <w:r>
        <w:t xml:space="preserve"> considering LUC impacts of the EPA’s Renewable Fuel Standard</w:t>
      </w:r>
      <w:r w:rsidRPr="00BC5F44">
        <w:t xml:space="preserve">, but U.S. cropland has not increased during the entire life of </w:t>
      </w:r>
      <w:r>
        <w:t>the</w:t>
      </w:r>
      <w:r w:rsidRPr="00BC5F44">
        <w:t xml:space="preserve"> </w:t>
      </w:r>
      <w:r>
        <w:t>policy</w:t>
      </w:r>
      <w:r w:rsidRPr="00BC5F44">
        <w:t>.</w:t>
      </w:r>
    </w:p>
  </w:footnote>
  <w:footnote w:id="8">
    <w:p w14:paraId="2243373B" w14:textId="2FE7BA70" w:rsidR="0099281F" w:rsidRDefault="00631614">
      <w:pPr>
        <w:pStyle w:val="FootnoteText"/>
      </w:pPr>
      <w:r>
        <w:rPr>
          <w:rStyle w:val="FootnoteReference"/>
        </w:rPr>
        <w:footnoteRef/>
      </w:r>
      <w:r>
        <w:t xml:space="preserve"> Purdue University analysis, June 2023</w:t>
      </w:r>
    </w:p>
  </w:footnote>
  <w:footnote w:id="9">
    <w:p w14:paraId="1671EEBB" w14:textId="430D7AC5" w:rsidR="00B80080" w:rsidRDefault="00631614">
      <w:pPr>
        <w:pStyle w:val="FootnoteText"/>
      </w:pPr>
      <w:r>
        <w:rPr>
          <w:rStyle w:val="FootnoteReference"/>
        </w:rPr>
        <w:footnoteRef/>
      </w:r>
      <w:r>
        <w:t xml:space="preserve"> Energy Information Administration, EPA Moderated Transaction System (EMTS)</w:t>
      </w:r>
    </w:p>
  </w:footnote>
  <w:footnote w:id="10">
    <w:p w14:paraId="6CA4B607" w14:textId="05E80D27" w:rsidR="00317939" w:rsidRDefault="00631614">
      <w:pPr>
        <w:pStyle w:val="FootnoteText"/>
      </w:pPr>
      <w:r>
        <w:rPr>
          <w:rStyle w:val="FootnoteReference"/>
        </w:rPr>
        <w:footnoteRef/>
      </w:r>
      <w:r>
        <w:t xml:space="preserve"> Ibid</w:t>
      </w:r>
    </w:p>
  </w:footnote>
  <w:footnote w:id="11">
    <w:p w14:paraId="26C57B8A" w14:textId="3A9B46D7" w:rsidR="00317939" w:rsidRDefault="00631614">
      <w:pPr>
        <w:pStyle w:val="FootnoteText"/>
      </w:pPr>
      <w:r>
        <w:rPr>
          <w:rStyle w:val="FootnoteReference"/>
        </w:rPr>
        <w:footnoteRef/>
      </w:r>
      <w:r>
        <w:t xml:space="preserve"> </w:t>
      </w:r>
      <w:r w:rsidR="006C073B">
        <w:t xml:space="preserve">EIA, </w:t>
      </w:r>
      <w:hyperlink r:id="rId1" w:history="1">
        <w:r w:rsidR="006C073B" w:rsidRPr="003917D5">
          <w:rPr>
            <w:rStyle w:val="Hyperlink"/>
          </w:rPr>
          <w:t>https://www.eia.gov/dnav/pet/PET_CONS_821USE_DCU_SVT_A.htm</w:t>
        </w:r>
      </w:hyperlink>
      <w:r w:rsidR="006C073B">
        <w:t>, visited 10/8/2024</w:t>
      </w:r>
    </w:p>
  </w:footnote>
  <w:footnote w:id="12">
    <w:p w14:paraId="6AD1ACA5" w14:textId="5530A81F" w:rsidR="00AB2880" w:rsidRPr="007A04E0" w:rsidRDefault="00AB2880">
      <w:pPr>
        <w:pStyle w:val="FootnoteText"/>
      </w:pPr>
      <w:r>
        <w:rPr>
          <w:rStyle w:val="FootnoteReference"/>
        </w:rPr>
        <w:footnoteRef/>
      </w:r>
      <w:r>
        <w:t xml:space="preserve"> </w:t>
      </w:r>
      <w:r w:rsidR="007A04E0">
        <w:rPr>
          <w:i/>
          <w:iCs/>
        </w:rPr>
        <w:t xml:space="preserve">See </w:t>
      </w:r>
      <w:hyperlink r:id="rId2" w:anchor="page=112" w:history="1">
        <w:r w:rsidR="007A04E0" w:rsidRPr="007A04E0">
          <w:rPr>
            <w:rStyle w:val="Hyperlink"/>
          </w:rPr>
          <w:t xml:space="preserve">LCFS Regulation </w:t>
        </w:r>
        <w:r w:rsidR="007A04E0" w:rsidRPr="007A04E0">
          <w:rPr>
            <w:rStyle w:val="Hyperlink"/>
            <w:rFonts w:ascii="Times New Roman" w:hAnsi="Times New Roman" w:cs="Times New Roman"/>
          </w:rPr>
          <w:t>§</w:t>
        </w:r>
        <w:r w:rsidR="007A04E0" w:rsidRPr="007A04E0">
          <w:rPr>
            <w:rStyle w:val="Hyperlink"/>
          </w:rPr>
          <w:t xml:space="preserve"> 95488.3 Table 6</w:t>
        </w:r>
      </w:hyperlink>
      <w:r w:rsidR="007A04E0">
        <w:t xml:space="preserve"> </w:t>
      </w:r>
      <w:r w:rsidR="0045377F">
        <w:t xml:space="preserve"> (Table 6) </w:t>
      </w:r>
      <w:r w:rsidR="007A04E0">
        <w:t>(includes LUC values for use in CI determination and cited authorities), visited 10/9/2024</w:t>
      </w:r>
      <w:r w:rsidR="00556C3E">
        <w:t>.</w:t>
      </w:r>
    </w:p>
  </w:footnote>
  <w:footnote w:id="13">
    <w:p w14:paraId="2B7F81B7" w14:textId="405EC6F5" w:rsidR="007A04E0" w:rsidRPr="00B03994" w:rsidRDefault="007A04E0">
      <w:pPr>
        <w:pStyle w:val="FootnoteText"/>
        <w:rPr>
          <w:u w:val="single"/>
        </w:rPr>
      </w:pPr>
      <w:r>
        <w:rPr>
          <w:rStyle w:val="FootnoteReference"/>
        </w:rPr>
        <w:footnoteRef/>
      </w:r>
      <w:r>
        <w:t xml:space="preserve"> </w:t>
      </w:r>
      <w:r>
        <w:rPr>
          <w:i/>
          <w:iCs/>
        </w:rPr>
        <w:t>See</w:t>
      </w:r>
      <w:r>
        <w:t xml:space="preserve"> </w:t>
      </w:r>
      <w:r>
        <w:rPr>
          <w:u w:val="single"/>
        </w:rPr>
        <w:t>id.</w:t>
      </w:r>
    </w:p>
  </w:footnote>
  <w:footnote w:id="14">
    <w:p w14:paraId="34B231DC" w14:textId="525DB205" w:rsidR="00E533D5" w:rsidRPr="00E533D5" w:rsidRDefault="00E533D5">
      <w:pPr>
        <w:pStyle w:val="FootnoteText"/>
      </w:pPr>
      <w:r>
        <w:rPr>
          <w:rStyle w:val="FootnoteReference"/>
        </w:rPr>
        <w:footnoteRef/>
      </w:r>
      <w:r>
        <w:t xml:space="preserve">  </w:t>
      </w:r>
      <w:r w:rsidRPr="00E533D5">
        <w:rPr>
          <w:rFonts w:cstheme="minorHAnsi"/>
          <w:i/>
          <w:iCs/>
        </w:rPr>
        <w:t xml:space="preserve">See </w:t>
      </w:r>
      <w:r w:rsidRPr="00B03994">
        <w:rPr>
          <w:rFonts w:cstheme="minorHAnsi"/>
          <w:smallCaps/>
        </w:rPr>
        <w:t>Cal. Health &amp; Safety Code</w:t>
      </w:r>
      <w:r w:rsidRPr="00E533D5">
        <w:rPr>
          <w:rFonts w:cstheme="minorHAnsi"/>
        </w:rPr>
        <w:t xml:space="preserve"> </w:t>
      </w:r>
      <w:r w:rsidRPr="00B03994">
        <w:rPr>
          <w:rFonts w:cstheme="minorHAnsi"/>
        </w:rPr>
        <w:t xml:space="preserve">§ 38562(d)(1) (2017); </w:t>
      </w:r>
      <w:r w:rsidRPr="00E533D5">
        <w:rPr>
          <w:rFonts w:cstheme="minorHAnsi"/>
        </w:rPr>
        <w:t>International Organization for Standardization (ISO) 1406</w:t>
      </w:r>
      <w:r w:rsidR="0045377F">
        <w:rPr>
          <w:rFonts w:cstheme="minorHAnsi"/>
        </w:rPr>
        <w:t>4-3</w:t>
      </w:r>
      <w:r w:rsidRPr="00E533D5">
        <w:rPr>
          <w:rFonts w:cstheme="minorHAnsi"/>
        </w:rPr>
        <w:t>:20</w:t>
      </w:r>
      <w:r w:rsidR="0045377F">
        <w:rPr>
          <w:rFonts w:cstheme="minorHAnsi"/>
        </w:rPr>
        <w:t>19</w:t>
      </w:r>
      <w:r w:rsidRPr="00E533D5">
        <w:rPr>
          <w:rFonts w:cstheme="minorHAnsi"/>
        </w:rPr>
        <w:t xml:space="preserve"> (</w:t>
      </w:r>
      <w:r w:rsidR="0045377F">
        <w:rPr>
          <w:rFonts w:cstheme="minorHAnsi"/>
        </w:rPr>
        <w:t>Specification with guidance for the verification and validation of greenhouse gas statements)</w:t>
      </w:r>
      <w:r w:rsidR="00556C3E">
        <w:rPr>
          <w:rFonts w:cstheme="minorHAnsi"/>
        </w:rPr>
        <w:t>.</w:t>
      </w:r>
    </w:p>
  </w:footnote>
  <w:footnote w:id="15">
    <w:p w14:paraId="28F9319E" w14:textId="56146814" w:rsidR="0045377F" w:rsidRPr="0045377F" w:rsidRDefault="0045377F">
      <w:pPr>
        <w:pStyle w:val="FootnoteText"/>
      </w:pPr>
      <w:r>
        <w:rPr>
          <w:rStyle w:val="FootnoteReference"/>
        </w:rPr>
        <w:footnoteRef/>
      </w:r>
      <w:r>
        <w:t xml:space="preserve"> </w:t>
      </w:r>
      <w:r>
        <w:rPr>
          <w:i/>
          <w:iCs/>
        </w:rPr>
        <w:t xml:space="preserve">See </w:t>
      </w:r>
      <w:r>
        <w:t>Table 6</w:t>
      </w:r>
      <w:r w:rsidR="00556C3E">
        <w:t>.</w:t>
      </w:r>
    </w:p>
  </w:footnote>
  <w:footnote w:id="16">
    <w:p w14:paraId="10441D75" w14:textId="7C385024" w:rsidR="0045377F" w:rsidRPr="0045377F" w:rsidRDefault="0045377F">
      <w:pPr>
        <w:pStyle w:val="FootnoteText"/>
      </w:pPr>
      <w:r>
        <w:rPr>
          <w:rStyle w:val="FootnoteReference"/>
        </w:rPr>
        <w:footnoteRef/>
      </w:r>
      <w:r>
        <w:t xml:space="preserve"> </w:t>
      </w:r>
      <w:r>
        <w:rPr>
          <w:i/>
          <w:iCs/>
        </w:rPr>
        <w:t xml:space="preserve">See </w:t>
      </w:r>
      <w:hyperlink r:id="rId3" w:anchor="page=128" w:history="1">
        <w:r w:rsidR="00556C3E" w:rsidRPr="00556C3E">
          <w:rPr>
            <w:rStyle w:val="Hyperlink"/>
          </w:rPr>
          <w:t>Proposed Amendments to the LCFS Regulation, Aug. 12, 2024, at p. 128</w:t>
        </w:r>
      </w:hyperlink>
      <w:r w:rsidR="00556C3E">
        <w:t xml:space="preserve"> (“The Executive Officer may determine that no value in Table 6 is conservatively representative and assign a more conservative [(higher)] LUC value.”), visited 10/9/24.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36A60" w14:textId="77777777" w:rsidR="000A3F62" w:rsidRDefault="000A3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36D1E"/>
    <w:multiLevelType w:val="hybridMultilevel"/>
    <w:tmpl w:val="C3006950"/>
    <w:lvl w:ilvl="0" w:tplc="8664257E">
      <w:start w:val="1"/>
      <w:numFmt w:val="bullet"/>
      <w:lvlText w:val=""/>
      <w:lvlJc w:val="left"/>
      <w:pPr>
        <w:ind w:left="720" w:hanging="360"/>
      </w:pPr>
      <w:rPr>
        <w:rFonts w:ascii="Symbol" w:hAnsi="Symbol"/>
      </w:rPr>
    </w:lvl>
    <w:lvl w:ilvl="1" w:tplc="99BEB230">
      <w:start w:val="1"/>
      <w:numFmt w:val="bullet"/>
      <w:lvlText w:val=""/>
      <w:lvlJc w:val="left"/>
      <w:pPr>
        <w:ind w:left="720" w:hanging="360"/>
      </w:pPr>
      <w:rPr>
        <w:rFonts w:ascii="Symbol" w:hAnsi="Symbol"/>
      </w:rPr>
    </w:lvl>
    <w:lvl w:ilvl="2" w:tplc="782E1150">
      <w:start w:val="1"/>
      <w:numFmt w:val="bullet"/>
      <w:lvlText w:val=""/>
      <w:lvlJc w:val="left"/>
      <w:pPr>
        <w:ind w:left="720" w:hanging="360"/>
      </w:pPr>
      <w:rPr>
        <w:rFonts w:ascii="Symbol" w:hAnsi="Symbol"/>
      </w:rPr>
    </w:lvl>
    <w:lvl w:ilvl="3" w:tplc="989644FA">
      <w:start w:val="1"/>
      <w:numFmt w:val="bullet"/>
      <w:lvlText w:val=""/>
      <w:lvlJc w:val="left"/>
      <w:pPr>
        <w:ind w:left="720" w:hanging="360"/>
      </w:pPr>
      <w:rPr>
        <w:rFonts w:ascii="Symbol" w:hAnsi="Symbol"/>
      </w:rPr>
    </w:lvl>
    <w:lvl w:ilvl="4" w:tplc="88EC4DCC">
      <w:start w:val="1"/>
      <w:numFmt w:val="bullet"/>
      <w:lvlText w:val=""/>
      <w:lvlJc w:val="left"/>
      <w:pPr>
        <w:ind w:left="720" w:hanging="360"/>
      </w:pPr>
      <w:rPr>
        <w:rFonts w:ascii="Symbol" w:hAnsi="Symbol"/>
      </w:rPr>
    </w:lvl>
    <w:lvl w:ilvl="5" w:tplc="EB408C42">
      <w:start w:val="1"/>
      <w:numFmt w:val="bullet"/>
      <w:lvlText w:val=""/>
      <w:lvlJc w:val="left"/>
      <w:pPr>
        <w:ind w:left="720" w:hanging="360"/>
      </w:pPr>
      <w:rPr>
        <w:rFonts w:ascii="Symbol" w:hAnsi="Symbol"/>
      </w:rPr>
    </w:lvl>
    <w:lvl w:ilvl="6" w:tplc="691EFD08">
      <w:start w:val="1"/>
      <w:numFmt w:val="bullet"/>
      <w:lvlText w:val=""/>
      <w:lvlJc w:val="left"/>
      <w:pPr>
        <w:ind w:left="720" w:hanging="360"/>
      </w:pPr>
      <w:rPr>
        <w:rFonts w:ascii="Symbol" w:hAnsi="Symbol"/>
      </w:rPr>
    </w:lvl>
    <w:lvl w:ilvl="7" w:tplc="DB9C74BE">
      <w:start w:val="1"/>
      <w:numFmt w:val="bullet"/>
      <w:lvlText w:val=""/>
      <w:lvlJc w:val="left"/>
      <w:pPr>
        <w:ind w:left="720" w:hanging="360"/>
      </w:pPr>
      <w:rPr>
        <w:rFonts w:ascii="Symbol" w:hAnsi="Symbol"/>
      </w:rPr>
    </w:lvl>
    <w:lvl w:ilvl="8" w:tplc="16BA2574">
      <w:start w:val="1"/>
      <w:numFmt w:val="bullet"/>
      <w:lvlText w:val=""/>
      <w:lvlJc w:val="left"/>
      <w:pPr>
        <w:ind w:left="720" w:hanging="360"/>
      </w:pPr>
      <w:rPr>
        <w:rFonts w:ascii="Symbol" w:hAnsi="Symbol"/>
      </w:rPr>
    </w:lvl>
  </w:abstractNum>
  <w:abstractNum w:abstractNumId="1" w15:restartNumberingAfterBreak="0">
    <w:nsid w:val="0FEE6366"/>
    <w:multiLevelType w:val="hybridMultilevel"/>
    <w:tmpl w:val="551211B6"/>
    <w:lvl w:ilvl="0" w:tplc="F36C1030">
      <w:start w:val="1"/>
      <w:numFmt w:val="bullet"/>
      <w:lvlText w:val=""/>
      <w:lvlJc w:val="left"/>
      <w:pPr>
        <w:ind w:left="720" w:hanging="360"/>
      </w:pPr>
      <w:rPr>
        <w:rFonts w:ascii="Symbol" w:hAnsi="Symbol" w:hint="default"/>
      </w:rPr>
    </w:lvl>
    <w:lvl w:ilvl="1" w:tplc="69323CFC">
      <w:start w:val="1"/>
      <w:numFmt w:val="bullet"/>
      <w:lvlText w:val="o"/>
      <w:lvlJc w:val="left"/>
      <w:pPr>
        <w:ind w:left="900" w:hanging="360"/>
      </w:pPr>
      <w:rPr>
        <w:rFonts w:ascii="Courier New" w:hAnsi="Courier New" w:cs="Courier New" w:hint="default"/>
      </w:rPr>
    </w:lvl>
    <w:lvl w:ilvl="2" w:tplc="2132F07E" w:tentative="1">
      <w:start w:val="1"/>
      <w:numFmt w:val="bullet"/>
      <w:lvlText w:val=""/>
      <w:lvlJc w:val="left"/>
      <w:pPr>
        <w:ind w:left="2160" w:hanging="360"/>
      </w:pPr>
      <w:rPr>
        <w:rFonts w:ascii="Wingdings" w:hAnsi="Wingdings" w:hint="default"/>
      </w:rPr>
    </w:lvl>
    <w:lvl w:ilvl="3" w:tplc="92DA3D76" w:tentative="1">
      <w:start w:val="1"/>
      <w:numFmt w:val="bullet"/>
      <w:lvlText w:val=""/>
      <w:lvlJc w:val="left"/>
      <w:pPr>
        <w:ind w:left="2880" w:hanging="360"/>
      </w:pPr>
      <w:rPr>
        <w:rFonts w:ascii="Symbol" w:hAnsi="Symbol" w:hint="default"/>
      </w:rPr>
    </w:lvl>
    <w:lvl w:ilvl="4" w:tplc="6540ACE2" w:tentative="1">
      <w:start w:val="1"/>
      <w:numFmt w:val="bullet"/>
      <w:lvlText w:val="o"/>
      <w:lvlJc w:val="left"/>
      <w:pPr>
        <w:ind w:left="3600" w:hanging="360"/>
      </w:pPr>
      <w:rPr>
        <w:rFonts w:ascii="Courier New" w:hAnsi="Courier New" w:cs="Courier New" w:hint="default"/>
      </w:rPr>
    </w:lvl>
    <w:lvl w:ilvl="5" w:tplc="0C9648F2" w:tentative="1">
      <w:start w:val="1"/>
      <w:numFmt w:val="bullet"/>
      <w:lvlText w:val=""/>
      <w:lvlJc w:val="left"/>
      <w:pPr>
        <w:ind w:left="4320" w:hanging="360"/>
      </w:pPr>
      <w:rPr>
        <w:rFonts w:ascii="Wingdings" w:hAnsi="Wingdings" w:hint="default"/>
      </w:rPr>
    </w:lvl>
    <w:lvl w:ilvl="6" w:tplc="B9B28C16" w:tentative="1">
      <w:start w:val="1"/>
      <w:numFmt w:val="bullet"/>
      <w:lvlText w:val=""/>
      <w:lvlJc w:val="left"/>
      <w:pPr>
        <w:ind w:left="5040" w:hanging="360"/>
      </w:pPr>
      <w:rPr>
        <w:rFonts w:ascii="Symbol" w:hAnsi="Symbol" w:hint="default"/>
      </w:rPr>
    </w:lvl>
    <w:lvl w:ilvl="7" w:tplc="A18C0DF2" w:tentative="1">
      <w:start w:val="1"/>
      <w:numFmt w:val="bullet"/>
      <w:lvlText w:val="o"/>
      <w:lvlJc w:val="left"/>
      <w:pPr>
        <w:ind w:left="5760" w:hanging="360"/>
      </w:pPr>
      <w:rPr>
        <w:rFonts w:ascii="Courier New" w:hAnsi="Courier New" w:cs="Courier New" w:hint="default"/>
      </w:rPr>
    </w:lvl>
    <w:lvl w:ilvl="8" w:tplc="4CB89B1E" w:tentative="1">
      <w:start w:val="1"/>
      <w:numFmt w:val="bullet"/>
      <w:lvlText w:val=""/>
      <w:lvlJc w:val="left"/>
      <w:pPr>
        <w:ind w:left="6480" w:hanging="360"/>
      </w:pPr>
      <w:rPr>
        <w:rFonts w:ascii="Wingdings" w:hAnsi="Wingdings" w:hint="default"/>
      </w:rPr>
    </w:lvl>
  </w:abstractNum>
  <w:abstractNum w:abstractNumId="2" w15:restartNumberingAfterBreak="0">
    <w:nsid w:val="1169257F"/>
    <w:multiLevelType w:val="multilevel"/>
    <w:tmpl w:val="408C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F734E"/>
    <w:multiLevelType w:val="multilevel"/>
    <w:tmpl w:val="95A66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36BEC"/>
    <w:multiLevelType w:val="hybridMultilevel"/>
    <w:tmpl w:val="23B8C97E"/>
    <w:lvl w:ilvl="0" w:tplc="BC245AF2">
      <w:start w:val="1"/>
      <w:numFmt w:val="bullet"/>
      <w:lvlText w:val=""/>
      <w:lvlJc w:val="left"/>
      <w:pPr>
        <w:ind w:left="720" w:hanging="360"/>
      </w:pPr>
      <w:rPr>
        <w:rFonts w:ascii="Symbol" w:hAnsi="Symbol" w:hint="default"/>
      </w:rPr>
    </w:lvl>
    <w:lvl w:ilvl="1" w:tplc="5838EB68" w:tentative="1">
      <w:start w:val="1"/>
      <w:numFmt w:val="bullet"/>
      <w:lvlText w:val="o"/>
      <w:lvlJc w:val="left"/>
      <w:pPr>
        <w:ind w:left="1440" w:hanging="360"/>
      </w:pPr>
      <w:rPr>
        <w:rFonts w:ascii="Courier New" w:hAnsi="Courier New" w:cs="Courier New" w:hint="default"/>
      </w:rPr>
    </w:lvl>
    <w:lvl w:ilvl="2" w:tplc="98965106" w:tentative="1">
      <w:start w:val="1"/>
      <w:numFmt w:val="bullet"/>
      <w:lvlText w:val=""/>
      <w:lvlJc w:val="left"/>
      <w:pPr>
        <w:ind w:left="2160" w:hanging="360"/>
      </w:pPr>
      <w:rPr>
        <w:rFonts w:ascii="Wingdings" w:hAnsi="Wingdings" w:hint="default"/>
      </w:rPr>
    </w:lvl>
    <w:lvl w:ilvl="3" w:tplc="DCB809D4" w:tentative="1">
      <w:start w:val="1"/>
      <w:numFmt w:val="bullet"/>
      <w:lvlText w:val=""/>
      <w:lvlJc w:val="left"/>
      <w:pPr>
        <w:ind w:left="2880" w:hanging="360"/>
      </w:pPr>
      <w:rPr>
        <w:rFonts w:ascii="Symbol" w:hAnsi="Symbol" w:hint="default"/>
      </w:rPr>
    </w:lvl>
    <w:lvl w:ilvl="4" w:tplc="6284B6C0" w:tentative="1">
      <w:start w:val="1"/>
      <w:numFmt w:val="bullet"/>
      <w:lvlText w:val="o"/>
      <w:lvlJc w:val="left"/>
      <w:pPr>
        <w:ind w:left="3600" w:hanging="360"/>
      </w:pPr>
      <w:rPr>
        <w:rFonts w:ascii="Courier New" w:hAnsi="Courier New" w:cs="Courier New" w:hint="default"/>
      </w:rPr>
    </w:lvl>
    <w:lvl w:ilvl="5" w:tplc="828E26AE" w:tentative="1">
      <w:start w:val="1"/>
      <w:numFmt w:val="bullet"/>
      <w:lvlText w:val=""/>
      <w:lvlJc w:val="left"/>
      <w:pPr>
        <w:ind w:left="4320" w:hanging="360"/>
      </w:pPr>
      <w:rPr>
        <w:rFonts w:ascii="Wingdings" w:hAnsi="Wingdings" w:hint="default"/>
      </w:rPr>
    </w:lvl>
    <w:lvl w:ilvl="6" w:tplc="69EAB23C" w:tentative="1">
      <w:start w:val="1"/>
      <w:numFmt w:val="bullet"/>
      <w:lvlText w:val=""/>
      <w:lvlJc w:val="left"/>
      <w:pPr>
        <w:ind w:left="5040" w:hanging="360"/>
      </w:pPr>
      <w:rPr>
        <w:rFonts w:ascii="Symbol" w:hAnsi="Symbol" w:hint="default"/>
      </w:rPr>
    </w:lvl>
    <w:lvl w:ilvl="7" w:tplc="57A23BA8" w:tentative="1">
      <w:start w:val="1"/>
      <w:numFmt w:val="bullet"/>
      <w:lvlText w:val="o"/>
      <w:lvlJc w:val="left"/>
      <w:pPr>
        <w:ind w:left="5760" w:hanging="360"/>
      </w:pPr>
      <w:rPr>
        <w:rFonts w:ascii="Courier New" w:hAnsi="Courier New" w:cs="Courier New" w:hint="default"/>
      </w:rPr>
    </w:lvl>
    <w:lvl w:ilvl="8" w:tplc="00367FCA" w:tentative="1">
      <w:start w:val="1"/>
      <w:numFmt w:val="bullet"/>
      <w:lvlText w:val=""/>
      <w:lvlJc w:val="left"/>
      <w:pPr>
        <w:ind w:left="6480" w:hanging="360"/>
      </w:pPr>
      <w:rPr>
        <w:rFonts w:ascii="Wingdings" w:hAnsi="Wingdings" w:hint="default"/>
      </w:rPr>
    </w:lvl>
  </w:abstractNum>
  <w:abstractNum w:abstractNumId="5" w15:restartNumberingAfterBreak="0">
    <w:nsid w:val="403A278F"/>
    <w:multiLevelType w:val="hybridMultilevel"/>
    <w:tmpl w:val="C8422FE2"/>
    <w:lvl w:ilvl="0" w:tplc="596859FA">
      <w:start w:val="1"/>
      <w:numFmt w:val="bullet"/>
      <w:lvlText w:val=""/>
      <w:lvlJc w:val="left"/>
      <w:pPr>
        <w:ind w:left="1180" w:hanging="360"/>
      </w:pPr>
      <w:rPr>
        <w:rFonts w:ascii="Symbol" w:hAnsi="Symbol"/>
      </w:rPr>
    </w:lvl>
    <w:lvl w:ilvl="1" w:tplc="6826DF0A">
      <w:start w:val="1"/>
      <w:numFmt w:val="bullet"/>
      <w:lvlText w:val=""/>
      <w:lvlJc w:val="left"/>
      <w:pPr>
        <w:ind w:left="1180" w:hanging="360"/>
      </w:pPr>
      <w:rPr>
        <w:rFonts w:ascii="Symbol" w:hAnsi="Symbol"/>
      </w:rPr>
    </w:lvl>
    <w:lvl w:ilvl="2" w:tplc="FE10680C">
      <w:start w:val="1"/>
      <w:numFmt w:val="bullet"/>
      <w:lvlText w:val=""/>
      <w:lvlJc w:val="left"/>
      <w:pPr>
        <w:ind w:left="1180" w:hanging="360"/>
      </w:pPr>
      <w:rPr>
        <w:rFonts w:ascii="Symbol" w:hAnsi="Symbol"/>
      </w:rPr>
    </w:lvl>
    <w:lvl w:ilvl="3" w:tplc="0CB02C52">
      <w:start w:val="1"/>
      <w:numFmt w:val="bullet"/>
      <w:lvlText w:val=""/>
      <w:lvlJc w:val="left"/>
      <w:pPr>
        <w:ind w:left="1180" w:hanging="360"/>
      </w:pPr>
      <w:rPr>
        <w:rFonts w:ascii="Symbol" w:hAnsi="Symbol"/>
      </w:rPr>
    </w:lvl>
    <w:lvl w:ilvl="4" w:tplc="B872A5F8">
      <w:start w:val="1"/>
      <w:numFmt w:val="bullet"/>
      <w:lvlText w:val=""/>
      <w:lvlJc w:val="left"/>
      <w:pPr>
        <w:ind w:left="1180" w:hanging="360"/>
      </w:pPr>
      <w:rPr>
        <w:rFonts w:ascii="Symbol" w:hAnsi="Symbol"/>
      </w:rPr>
    </w:lvl>
    <w:lvl w:ilvl="5" w:tplc="9D068DC8">
      <w:start w:val="1"/>
      <w:numFmt w:val="bullet"/>
      <w:lvlText w:val=""/>
      <w:lvlJc w:val="left"/>
      <w:pPr>
        <w:ind w:left="1180" w:hanging="360"/>
      </w:pPr>
      <w:rPr>
        <w:rFonts w:ascii="Symbol" w:hAnsi="Symbol"/>
      </w:rPr>
    </w:lvl>
    <w:lvl w:ilvl="6" w:tplc="B4965582">
      <w:start w:val="1"/>
      <w:numFmt w:val="bullet"/>
      <w:lvlText w:val=""/>
      <w:lvlJc w:val="left"/>
      <w:pPr>
        <w:ind w:left="1180" w:hanging="360"/>
      </w:pPr>
      <w:rPr>
        <w:rFonts w:ascii="Symbol" w:hAnsi="Symbol"/>
      </w:rPr>
    </w:lvl>
    <w:lvl w:ilvl="7" w:tplc="C9242356">
      <w:start w:val="1"/>
      <w:numFmt w:val="bullet"/>
      <w:lvlText w:val=""/>
      <w:lvlJc w:val="left"/>
      <w:pPr>
        <w:ind w:left="1180" w:hanging="360"/>
      </w:pPr>
      <w:rPr>
        <w:rFonts w:ascii="Symbol" w:hAnsi="Symbol"/>
      </w:rPr>
    </w:lvl>
    <w:lvl w:ilvl="8" w:tplc="0FF6B074">
      <w:start w:val="1"/>
      <w:numFmt w:val="bullet"/>
      <w:lvlText w:val=""/>
      <w:lvlJc w:val="left"/>
      <w:pPr>
        <w:ind w:left="1180" w:hanging="360"/>
      </w:pPr>
      <w:rPr>
        <w:rFonts w:ascii="Symbol" w:hAnsi="Symbol"/>
      </w:rPr>
    </w:lvl>
  </w:abstractNum>
  <w:abstractNum w:abstractNumId="6" w15:restartNumberingAfterBreak="0">
    <w:nsid w:val="407A41C3"/>
    <w:multiLevelType w:val="hybridMultilevel"/>
    <w:tmpl w:val="4370A624"/>
    <w:lvl w:ilvl="0" w:tplc="2B722E6E">
      <w:start w:val="1"/>
      <w:numFmt w:val="bullet"/>
      <w:lvlText w:val=""/>
      <w:lvlJc w:val="left"/>
      <w:pPr>
        <w:ind w:left="1180" w:hanging="360"/>
      </w:pPr>
      <w:rPr>
        <w:rFonts w:ascii="Symbol" w:hAnsi="Symbol"/>
      </w:rPr>
    </w:lvl>
    <w:lvl w:ilvl="1" w:tplc="B062382E">
      <w:start w:val="1"/>
      <w:numFmt w:val="bullet"/>
      <w:lvlText w:val=""/>
      <w:lvlJc w:val="left"/>
      <w:pPr>
        <w:ind w:left="1180" w:hanging="360"/>
      </w:pPr>
      <w:rPr>
        <w:rFonts w:ascii="Symbol" w:hAnsi="Symbol"/>
      </w:rPr>
    </w:lvl>
    <w:lvl w:ilvl="2" w:tplc="8E5844C2">
      <w:start w:val="1"/>
      <w:numFmt w:val="bullet"/>
      <w:lvlText w:val=""/>
      <w:lvlJc w:val="left"/>
      <w:pPr>
        <w:ind w:left="1180" w:hanging="360"/>
      </w:pPr>
      <w:rPr>
        <w:rFonts w:ascii="Symbol" w:hAnsi="Symbol"/>
      </w:rPr>
    </w:lvl>
    <w:lvl w:ilvl="3" w:tplc="3B80F332">
      <w:start w:val="1"/>
      <w:numFmt w:val="bullet"/>
      <w:lvlText w:val=""/>
      <w:lvlJc w:val="left"/>
      <w:pPr>
        <w:ind w:left="1180" w:hanging="360"/>
      </w:pPr>
      <w:rPr>
        <w:rFonts w:ascii="Symbol" w:hAnsi="Symbol"/>
      </w:rPr>
    </w:lvl>
    <w:lvl w:ilvl="4" w:tplc="806C4A64">
      <w:start w:val="1"/>
      <w:numFmt w:val="bullet"/>
      <w:lvlText w:val=""/>
      <w:lvlJc w:val="left"/>
      <w:pPr>
        <w:ind w:left="1180" w:hanging="360"/>
      </w:pPr>
      <w:rPr>
        <w:rFonts w:ascii="Symbol" w:hAnsi="Symbol"/>
      </w:rPr>
    </w:lvl>
    <w:lvl w:ilvl="5" w:tplc="72744ED4">
      <w:start w:val="1"/>
      <w:numFmt w:val="bullet"/>
      <w:lvlText w:val=""/>
      <w:lvlJc w:val="left"/>
      <w:pPr>
        <w:ind w:left="1180" w:hanging="360"/>
      </w:pPr>
      <w:rPr>
        <w:rFonts w:ascii="Symbol" w:hAnsi="Symbol"/>
      </w:rPr>
    </w:lvl>
    <w:lvl w:ilvl="6" w:tplc="70ACF710">
      <w:start w:val="1"/>
      <w:numFmt w:val="bullet"/>
      <w:lvlText w:val=""/>
      <w:lvlJc w:val="left"/>
      <w:pPr>
        <w:ind w:left="1180" w:hanging="360"/>
      </w:pPr>
      <w:rPr>
        <w:rFonts w:ascii="Symbol" w:hAnsi="Symbol"/>
      </w:rPr>
    </w:lvl>
    <w:lvl w:ilvl="7" w:tplc="B822874C">
      <w:start w:val="1"/>
      <w:numFmt w:val="bullet"/>
      <w:lvlText w:val=""/>
      <w:lvlJc w:val="left"/>
      <w:pPr>
        <w:ind w:left="1180" w:hanging="360"/>
      </w:pPr>
      <w:rPr>
        <w:rFonts w:ascii="Symbol" w:hAnsi="Symbol"/>
      </w:rPr>
    </w:lvl>
    <w:lvl w:ilvl="8" w:tplc="199615D0">
      <w:start w:val="1"/>
      <w:numFmt w:val="bullet"/>
      <w:lvlText w:val=""/>
      <w:lvlJc w:val="left"/>
      <w:pPr>
        <w:ind w:left="1180" w:hanging="360"/>
      </w:pPr>
      <w:rPr>
        <w:rFonts w:ascii="Symbol" w:hAnsi="Symbol"/>
      </w:rPr>
    </w:lvl>
  </w:abstractNum>
  <w:abstractNum w:abstractNumId="7" w15:restartNumberingAfterBreak="0">
    <w:nsid w:val="548B11ED"/>
    <w:multiLevelType w:val="hybridMultilevel"/>
    <w:tmpl w:val="B8A41082"/>
    <w:lvl w:ilvl="0" w:tplc="197E742E">
      <w:start w:val="1"/>
      <w:numFmt w:val="bullet"/>
      <w:lvlText w:val=""/>
      <w:lvlJc w:val="left"/>
      <w:pPr>
        <w:ind w:left="720" w:hanging="360"/>
      </w:pPr>
      <w:rPr>
        <w:rFonts w:ascii="Symbol" w:hAnsi="Symbol" w:hint="default"/>
      </w:rPr>
    </w:lvl>
    <w:lvl w:ilvl="1" w:tplc="786419B4" w:tentative="1">
      <w:start w:val="1"/>
      <w:numFmt w:val="bullet"/>
      <w:lvlText w:val="o"/>
      <w:lvlJc w:val="left"/>
      <w:pPr>
        <w:ind w:left="1440" w:hanging="360"/>
      </w:pPr>
      <w:rPr>
        <w:rFonts w:ascii="Courier New" w:hAnsi="Courier New" w:cs="Courier New" w:hint="default"/>
      </w:rPr>
    </w:lvl>
    <w:lvl w:ilvl="2" w:tplc="57364058" w:tentative="1">
      <w:start w:val="1"/>
      <w:numFmt w:val="bullet"/>
      <w:lvlText w:val=""/>
      <w:lvlJc w:val="left"/>
      <w:pPr>
        <w:ind w:left="2160" w:hanging="360"/>
      </w:pPr>
      <w:rPr>
        <w:rFonts w:ascii="Wingdings" w:hAnsi="Wingdings" w:hint="default"/>
      </w:rPr>
    </w:lvl>
    <w:lvl w:ilvl="3" w:tplc="EBA25B42" w:tentative="1">
      <w:start w:val="1"/>
      <w:numFmt w:val="bullet"/>
      <w:lvlText w:val=""/>
      <w:lvlJc w:val="left"/>
      <w:pPr>
        <w:ind w:left="2880" w:hanging="360"/>
      </w:pPr>
      <w:rPr>
        <w:rFonts w:ascii="Symbol" w:hAnsi="Symbol" w:hint="default"/>
      </w:rPr>
    </w:lvl>
    <w:lvl w:ilvl="4" w:tplc="74C64E4A" w:tentative="1">
      <w:start w:val="1"/>
      <w:numFmt w:val="bullet"/>
      <w:lvlText w:val="o"/>
      <w:lvlJc w:val="left"/>
      <w:pPr>
        <w:ind w:left="3600" w:hanging="360"/>
      </w:pPr>
      <w:rPr>
        <w:rFonts w:ascii="Courier New" w:hAnsi="Courier New" w:cs="Courier New" w:hint="default"/>
      </w:rPr>
    </w:lvl>
    <w:lvl w:ilvl="5" w:tplc="E1CA8C6E" w:tentative="1">
      <w:start w:val="1"/>
      <w:numFmt w:val="bullet"/>
      <w:lvlText w:val=""/>
      <w:lvlJc w:val="left"/>
      <w:pPr>
        <w:ind w:left="4320" w:hanging="360"/>
      </w:pPr>
      <w:rPr>
        <w:rFonts w:ascii="Wingdings" w:hAnsi="Wingdings" w:hint="default"/>
      </w:rPr>
    </w:lvl>
    <w:lvl w:ilvl="6" w:tplc="E9F859A2" w:tentative="1">
      <w:start w:val="1"/>
      <w:numFmt w:val="bullet"/>
      <w:lvlText w:val=""/>
      <w:lvlJc w:val="left"/>
      <w:pPr>
        <w:ind w:left="5040" w:hanging="360"/>
      </w:pPr>
      <w:rPr>
        <w:rFonts w:ascii="Symbol" w:hAnsi="Symbol" w:hint="default"/>
      </w:rPr>
    </w:lvl>
    <w:lvl w:ilvl="7" w:tplc="0054D730" w:tentative="1">
      <w:start w:val="1"/>
      <w:numFmt w:val="bullet"/>
      <w:lvlText w:val="o"/>
      <w:lvlJc w:val="left"/>
      <w:pPr>
        <w:ind w:left="5760" w:hanging="360"/>
      </w:pPr>
      <w:rPr>
        <w:rFonts w:ascii="Courier New" w:hAnsi="Courier New" w:cs="Courier New" w:hint="default"/>
      </w:rPr>
    </w:lvl>
    <w:lvl w:ilvl="8" w:tplc="C5086ACE" w:tentative="1">
      <w:start w:val="1"/>
      <w:numFmt w:val="bullet"/>
      <w:lvlText w:val=""/>
      <w:lvlJc w:val="left"/>
      <w:pPr>
        <w:ind w:left="6480" w:hanging="360"/>
      </w:pPr>
      <w:rPr>
        <w:rFonts w:ascii="Wingdings" w:hAnsi="Wingdings" w:hint="default"/>
      </w:rPr>
    </w:lvl>
  </w:abstractNum>
  <w:abstractNum w:abstractNumId="8" w15:restartNumberingAfterBreak="0">
    <w:nsid w:val="63FE4D7C"/>
    <w:multiLevelType w:val="hybridMultilevel"/>
    <w:tmpl w:val="8BD28716"/>
    <w:lvl w:ilvl="0" w:tplc="8EB6725E">
      <w:start w:val="1"/>
      <w:numFmt w:val="bullet"/>
      <w:lvlText w:val=""/>
      <w:lvlJc w:val="left"/>
      <w:pPr>
        <w:ind w:left="720" w:hanging="360"/>
      </w:pPr>
      <w:rPr>
        <w:rFonts w:ascii="Symbol" w:hAnsi="Symbol" w:hint="default"/>
      </w:rPr>
    </w:lvl>
    <w:lvl w:ilvl="1" w:tplc="E52EAA60">
      <w:start w:val="1"/>
      <w:numFmt w:val="bullet"/>
      <w:lvlText w:val="o"/>
      <w:lvlJc w:val="left"/>
      <w:pPr>
        <w:ind w:left="1440" w:hanging="360"/>
      </w:pPr>
      <w:rPr>
        <w:rFonts w:ascii="Courier New" w:hAnsi="Courier New" w:cs="Courier New" w:hint="default"/>
      </w:rPr>
    </w:lvl>
    <w:lvl w:ilvl="2" w:tplc="D264011C" w:tentative="1">
      <w:start w:val="1"/>
      <w:numFmt w:val="bullet"/>
      <w:lvlText w:val=""/>
      <w:lvlJc w:val="left"/>
      <w:pPr>
        <w:ind w:left="2160" w:hanging="360"/>
      </w:pPr>
      <w:rPr>
        <w:rFonts w:ascii="Wingdings" w:hAnsi="Wingdings" w:hint="default"/>
      </w:rPr>
    </w:lvl>
    <w:lvl w:ilvl="3" w:tplc="EEACE3F8" w:tentative="1">
      <w:start w:val="1"/>
      <w:numFmt w:val="bullet"/>
      <w:lvlText w:val=""/>
      <w:lvlJc w:val="left"/>
      <w:pPr>
        <w:ind w:left="2880" w:hanging="360"/>
      </w:pPr>
      <w:rPr>
        <w:rFonts w:ascii="Symbol" w:hAnsi="Symbol" w:hint="default"/>
      </w:rPr>
    </w:lvl>
    <w:lvl w:ilvl="4" w:tplc="4B44E350" w:tentative="1">
      <w:start w:val="1"/>
      <w:numFmt w:val="bullet"/>
      <w:lvlText w:val="o"/>
      <w:lvlJc w:val="left"/>
      <w:pPr>
        <w:ind w:left="3600" w:hanging="360"/>
      </w:pPr>
      <w:rPr>
        <w:rFonts w:ascii="Courier New" w:hAnsi="Courier New" w:cs="Courier New" w:hint="default"/>
      </w:rPr>
    </w:lvl>
    <w:lvl w:ilvl="5" w:tplc="FFDAF18A" w:tentative="1">
      <w:start w:val="1"/>
      <w:numFmt w:val="bullet"/>
      <w:lvlText w:val=""/>
      <w:lvlJc w:val="left"/>
      <w:pPr>
        <w:ind w:left="4320" w:hanging="360"/>
      </w:pPr>
      <w:rPr>
        <w:rFonts w:ascii="Wingdings" w:hAnsi="Wingdings" w:hint="default"/>
      </w:rPr>
    </w:lvl>
    <w:lvl w:ilvl="6" w:tplc="E93C3E40" w:tentative="1">
      <w:start w:val="1"/>
      <w:numFmt w:val="bullet"/>
      <w:lvlText w:val=""/>
      <w:lvlJc w:val="left"/>
      <w:pPr>
        <w:ind w:left="5040" w:hanging="360"/>
      </w:pPr>
      <w:rPr>
        <w:rFonts w:ascii="Symbol" w:hAnsi="Symbol" w:hint="default"/>
      </w:rPr>
    </w:lvl>
    <w:lvl w:ilvl="7" w:tplc="7D2A50CA" w:tentative="1">
      <w:start w:val="1"/>
      <w:numFmt w:val="bullet"/>
      <w:lvlText w:val="o"/>
      <w:lvlJc w:val="left"/>
      <w:pPr>
        <w:ind w:left="5760" w:hanging="360"/>
      </w:pPr>
      <w:rPr>
        <w:rFonts w:ascii="Courier New" w:hAnsi="Courier New" w:cs="Courier New" w:hint="default"/>
      </w:rPr>
    </w:lvl>
    <w:lvl w:ilvl="8" w:tplc="EDCE7AC4" w:tentative="1">
      <w:start w:val="1"/>
      <w:numFmt w:val="bullet"/>
      <w:lvlText w:val=""/>
      <w:lvlJc w:val="left"/>
      <w:pPr>
        <w:ind w:left="6480" w:hanging="360"/>
      </w:pPr>
      <w:rPr>
        <w:rFonts w:ascii="Wingdings" w:hAnsi="Wingdings" w:hint="default"/>
      </w:rPr>
    </w:lvl>
  </w:abstractNum>
  <w:abstractNum w:abstractNumId="9" w15:restartNumberingAfterBreak="0">
    <w:nsid w:val="6E132001"/>
    <w:multiLevelType w:val="hybridMultilevel"/>
    <w:tmpl w:val="19F8BC90"/>
    <w:lvl w:ilvl="0" w:tplc="76BC9514">
      <w:start w:val="1"/>
      <w:numFmt w:val="bullet"/>
      <w:lvlText w:val=""/>
      <w:lvlJc w:val="left"/>
      <w:pPr>
        <w:ind w:left="1180" w:hanging="360"/>
      </w:pPr>
      <w:rPr>
        <w:rFonts w:ascii="Symbol" w:hAnsi="Symbol"/>
      </w:rPr>
    </w:lvl>
    <w:lvl w:ilvl="1" w:tplc="892002C6">
      <w:start w:val="1"/>
      <w:numFmt w:val="bullet"/>
      <w:lvlText w:val=""/>
      <w:lvlJc w:val="left"/>
      <w:pPr>
        <w:ind w:left="1180" w:hanging="360"/>
      </w:pPr>
      <w:rPr>
        <w:rFonts w:ascii="Symbol" w:hAnsi="Symbol"/>
      </w:rPr>
    </w:lvl>
    <w:lvl w:ilvl="2" w:tplc="E67A5DFA">
      <w:start w:val="1"/>
      <w:numFmt w:val="bullet"/>
      <w:lvlText w:val=""/>
      <w:lvlJc w:val="left"/>
      <w:pPr>
        <w:ind w:left="1180" w:hanging="360"/>
      </w:pPr>
      <w:rPr>
        <w:rFonts w:ascii="Symbol" w:hAnsi="Symbol"/>
      </w:rPr>
    </w:lvl>
    <w:lvl w:ilvl="3" w:tplc="C414BE7C">
      <w:start w:val="1"/>
      <w:numFmt w:val="bullet"/>
      <w:lvlText w:val=""/>
      <w:lvlJc w:val="left"/>
      <w:pPr>
        <w:ind w:left="1180" w:hanging="360"/>
      </w:pPr>
      <w:rPr>
        <w:rFonts w:ascii="Symbol" w:hAnsi="Symbol"/>
      </w:rPr>
    </w:lvl>
    <w:lvl w:ilvl="4" w:tplc="4B321B6A">
      <w:start w:val="1"/>
      <w:numFmt w:val="bullet"/>
      <w:lvlText w:val=""/>
      <w:lvlJc w:val="left"/>
      <w:pPr>
        <w:ind w:left="1180" w:hanging="360"/>
      </w:pPr>
      <w:rPr>
        <w:rFonts w:ascii="Symbol" w:hAnsi="Symbol"/>
      </w:rPr>
    </w:lvl>
    <w:lvl w:ilvl="5" w:tplc="1E24B0D4">
      <w:start w:val="1"/>
      <w:numFmt w:val="bullet"/>
      <w:lvlText w:val=""/>
      <w:lvlJc w:val="left"/>
      <w:pPr>
        <w:ind w:left="1180" w:hanging="360"/>
      </w:pPr>
      <w:rPr>
        <w:rFonts w:ascii="Symbol" w:hAnsi="Symbol"/>
      </w:rPr>
    </w:lvl>
    <w:lvl w:ilvl="6" w:tplc="52329716">
      <w:start w:val="1"/>
      <w:numFmt w:val="bullet"/>
      <w:lvlText w:val=""/>
      <w:lvlJc w:val="left"/>
      <w:pPr>
        <w:ind w:left="1180" w:hanging="360"/>
      </w:pPr>
      <w:rPr>
        <w:rFonts w:ascii="Symbol" w:hAnsi="Symbol"/>
      </w:rPr>
    </w:lvl>
    <w:lvl w:ilvl="7" w:tplc="BEB0135A">
      <w:start w:val="1"/>
      <w:numFmt w:val="bullet"/>
      <w:lvlText w:val=""/>
      <w:lvlJc w:val="left"/>
      <w:pPr>
        <w:ind w:left="1180" w:hanging="360"/>
      </w:pPr>
      <w:rPr>
        <w:rFonts w:ascii="Symbol" w:hAnsi="Symbol"/>
      </w:rPr>
    </w:lvl>
    <w:lvl w:ilvl="8" w:tplc="C3A08586">
      <w:start w:val="1"/>
      <w:numFmt w:val="bullet"/>
      <w:lvlText w:val=""/>
      <w:lvlJc w:val="left"/>
      <w:pPr>
        <w:ind w:left="1180" w:hanging="360"/>
      </w:pPr>
      <w:rPr>
        <w:rFonts w:ascii="Symbol" w:hAnsi="Symbol"/>
      </w:rPr>
    </w:lvl>
  </w:abstractNum>
  <w:abstractNum w:abstractNumId="10" w15:restartNumberingAfterBreak="0">
    <w:nsid w:val="6E242AB7"/>
    <w:multiLevelType w:val="hybridMultilevel"/>
    <w:tmpl w:val="C51A2A3E"/>
    <w:lvl w:ilvl="0" w:tplc="FEDCDB22">
      <w:start w:val="1"/>
      <w:numFmt w:val="bullet"/>
      <w:lvlText w:val=""/>
      <w:lvlJc w:val="left"/>
      <w:pPr>
        <w:ind w:left="1180" w:hanging="360"/>
      </w:pPr>
      <w:rPr>
        <w:rFonts w:ascii="Symbol" w:hAnsi="Symbol"/>
      </w:rPr>
    </w:lvl>
    <w:lvl w:ilvl="1" w:tplc="59B011EE">
      <w:start w:val="1"/>
      <w:numFmt w:val="bullet"/>
      <w:lvlText w:val=""/>
      <w:lvlJc w:val="left"/>
      <w:pPr>
        <w:ind w:left="1180" w:hanging="360"/>
      </w:pPr>
      <w:rPr>
        <w:rFonts w:ascii="Symbol" w:hAnsi="Symbol"/>
      </w:rPr>
    </w:lvl>
    <w:lvl w:ilvl="2" w:tplc="30E8A8C0">
      <w:start w:val="1"/>
      <w:numFmt w:val="bullet"/>
      <w:lvlText w:val=""/>
      <w:lvlJc w:val="left"/>
      <w:pPr>
        <w:ind w:left="1180" w:hanging="360"/>
      </w:pPr>
      <w:rPr>
        <w:rFonts w:ascii="Symbol" w:hAnsi="Symbol"/>
      </w:rPr>
    </w:lvl>
    <w:lvl w:ilvl="3" w:tplc="71B49DFE">
      <w:start w:val="1"/>
      <w:numFmt w:val="bullet"/>
      <w:lvlText w:val=""/>
      <w:lvlJc w:val="left"/>
      <w:pPr>
        <w:ind w:left="1180" w:hanging="360"/>
      </w:pPr>
      <w:rPr>
        <w:rFonts w:ascii="Symbol" w:hAnsi="Symbol"/>
      </w:rPr>
    </w:lvl>
    <w:lvl w:ilvl="4" w:tplc="C826DAA8">
      <w:start w:val="1"/>
      <w:numFmt w:val="bullet"/>
      <w:lvlText w:val=""/>
      <w:lvlJc w:val="left"/>
      <w:pPr>
        <w:ind w:left="1180" w:hanging="360"/>
      </w:pPr>
      <w:rPr>
        <w:rFonts w:ascii="Symbol" w:hAnsi="Symbol"/>
      </w:rPr>
    </w:lvl>
    <w:lvl w:ilvl="5" w:tplc="D9C4B6B0">
      <w:start w:val="1"/>
      <w:numFmt w:val="bullet"/>
      <w:lvlText w:val=""/>
      <w:lvlJc w:val="left"/>
      <w:pPr>
        <w:ind w:left="1180" w:hanging="360"/>
      </w:pPr>
      <w:rPr>
        <w:rFonts w:ascii="Symbol" w:hAnsi="Symbol"/>
      </w:rPr>
    </w:lvl>
    <w:lvl w:ilvl="6" w:tplc="F922105E">
      <w:start w:val="1"/>
      <w:numFmt w:val="bullet"/>
      <w:lvlText w:val=""/>
      <w:lvlJc w:val="left"/>
      <w:pPr>
        <w:ind w:left="1180" w:hanging="360"/>
      </w:pPr>
      <w:rPr>
        <w:rFonts w:ascii="Symbol" w:hAnsi="Symbol"/>
      </w:rPr>
    </w:lvl>
    <w:lvl w:ilvl="7" w:tplc="506A8024">
      <w:start w:val="1"/>
      <w:numFmt w:val="bullet"/>
      <w:lvlText w:val=""/>
      <w:lvlJc w:val="left"/>
      <w:pPr>
        <w:ind w:left="1180" w:hanging="360"/>
      </w:pPr>
      <w:rPr>
        <w:rFonts w:ascii="Symbol" w:hAnsi="Symbol"/>
      </w:rPr>
    </w:lvl>
    <w:lvl w:ilvl="8" w:tplc="752A5B80">
      <w:start w:val="1"/>
      <w:numFmt w:val="bullet"/>
      <w:lvlText w:val=""/>
      <w:lvlJc w:val="left"/>
      <w:pPr>
        <w:ind w:left="1180" w:hanging="360"/>
      </w:pPr>
      <w:rPr>
        <w:rFonts w:ascii="Symbol" w:hAnsi="Symbol"/>
      </w:rPr>
    </w:lvl>
  </w:abstractNum>
  <w:abstractNum w:abstractNumId="11" w15:restartNumberingAfterBreak="0">
    <w:nsid w:val="76E212F1"/>
    <w:multiLevelType w:val="multilevel"/>
    <w:tmpl w:val="A01E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537295">
    <w:abstractNumId w:val="8"/>
  </w:num>
  <w:num w:numId="2" w16cid:durableId="828522483">
    <w:abstractNumId w:val="4"/>
  </w:num>
  <w:num w:numId="3" w16cid:durableId="785349482">
    <w:abstractNumId w:val="1"/>
  </w:num>
  <w:num w:numId="4" w16cid:durableId="1099987238">
    <w:abstractNumId w:val="7"/>
  </w:num>
  <w:num w:numId="5" w16cid:durableId="2036349342">
    <w:abstractNumId w:val="5"/>
  </w:num>
  <w:num w:numId="6" w16cid:durableId="1834293682">
    <w:abstractNumId w:val="10"/>
  </w:num>
  <w:num w:numId="7" w16cid:durableId="2138713928">
    <w:abstractNumId w:val="9"/>
  </w:num>
  <w:num w:numId="8" w16cid:durableId="693768589">
    <w:abstractNumId w:val="6"/>
  </w:num>
  <w:num w:numId="9" w16cid:durableId="853425699">
    <w:abstractNumId w:val="3"/>
  </w:num>
  <w:num w:numId="10" w16cid:durableId="575557085">
    <w:abstractNumId w:val="2"/>
  </w:num>
  <w:num w:numId="11" w16cid:durableId="190383678">
    <w:abstractNumId w:val="0"/>
  </w:num>
  <w:num w:numId="12" w16cid:durableId="10662259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7A4"/>
    <w:rsid w:val="000037A4"/>
    <w:rsid w:val="0000499D"/>
    <w:rsid w:val="0001282C"/>
    <w:rsid w:val="000276EA"/>
    <w:rsid w:val="00067CAF"/>
    <w:rsid w:val="000A3F62"/>
    <w:rsid w:val="001135D0"/>
    <w:rsid w:val="0012432A"/>
    <w:rsid w:val="0014184F"/>
    <w:rsid w:val="001447FF"/>
    <w:rsid w:val="00166E14"/>
    <w:rsid w:val="00173F15"/>
    <w:rsid w:val="0017414C"/>
    <w:rsid w:val="001745C9"/>
    <w:rsid w:val="00221349"/>
    <w:rsid w:val="0023023C"/>
    <w:rsid w:val="0024429E"/>
    <w:rsid w:val="00244F2A"/>
    <w:rsid w:val="002472BB"/>
    <w:rsid w:val="002715A9"/>
    <w:rsid w:val="00277988"/>
    <w:rsid w:val="00282460"/>
    <w:rsid w:val="002F7951"/>
    <w:rsid w:val="00304E6C"/>
    <w:rsid w:val="00317939"/>
    <w:rsid w:val="0033757C"/>
    <w:rsid w:val="0038374C"/>
    <w:rsid w:val="00390075"/>
    <w:rsid w:val="003917D5"/>
    <w:rsid w:val="00391FC3"/>
    <w:rsid w:val="0039763B"/>
    <w:rsid w:val="003C3DA0"/>
    <w:rsid w:val="003D6769"/>
    <w:rsid w:val="00421B51"/>
    <w:rsid w:val="00424949"/>
    <w:rsid w:val="00441F28"/>
    <w:rsid w:val="0045377F"/>
    <w:rsid w:val="00455AF0"/>
    <w:rsid w:val="0047502C"/>
    <w:rsid w:val="00475FC1"/>
    <w:rsid w:val="004C0772"/>
    <w:rsid w:val="004E4F60"/>
    <w:rsid w:val="004F5CAA"/>
    <w:rsid w:val="005325DD"/>
    <w:rsid w:val="0055157B"/>
    <w:rsid w:val="00556C3E"/>
    <w:rsid w:val="005649C4"/>
    <w:rsid w:val="00585851"/>
    <w:rsid w:val="005A085A"/>
    <w:rsid w:val="005A556A"/>
    <w:rsid w:val="005F2C42"/>
    <w:rsid w:val="005F469B"/>
    <w:rsid w:val="00627EEC"/>
    <w:rsid w:val="00631614"/>
    <w:rsid w:val="00633724"/>
    <w:rsid w:val="00664C32"/>
    <w:rsid w:val="00686495"/>
    <w:rsid w:val="006A735C"/>
    <w:rsid w:val="006C073B"/>
    <w:rsid w:val="006E7A9D"/>
    <w:rsid w:val="006F78F6"/>
    <w:rsid w:val="00706399"/>
    <w:rsid w:val="0074565A"/>
    <w:rsid w:val="00750A30"/>
    <w:rsid w:val="007A04E0"/>
    <w:rsid w:val="007A62B4"/>
    <w:rsid w:val="007C260A"/>
    <w:rsid w:val="00821274"/>
    <w:rsid w:val="008331FC"/>
    <w:rsid w:val="008711C4"/>
    <w:rsid w:val="00880DB0"/>
    <w:rsid w:val="008A1239"/>
    <w:rsid w:val="008A64E2"/>
    <w:rsid w:val="008B325D"/>
    <w:rsid w:val="008B5E75"/>
    <w:rsid w:val="00931172"/>
    <w:rsid w:val="0094201B"/>
    <w:rsid w:val="00984F87"/>
    <w:rsid w:val="00991354"/>
    <w:rsid w:val="0099281F"/>
    <w:rsid w:val="009C3DB0"/>
    <w:rsid w:val="009D20AC"/>
    <w:rsid w:val="009D63CC"/>
    <w:rsid w:val="009D6EE0"/>
    <w:rsid w:val="00A15147"/>
    <w:rsid w:val="00A32CDC"/>
    <w:rsid w:val="00A3542B"/>
    <w:rsid w:val="00A3731E"/>
    <w:rsid w:val="00A81B18"/>
    <w:rsid w:val="00A84B10"/>
    <w:rsid w:val="00AB2880"/>
    <w:rsid w:val="00AE388D"/>
    <w:rsid w:val="00AE4330"/>
    <w:rsid w:val="00B0267F"/>
    <w:rsid w:val="00B03994"/>
    <w:rsid w:val="00B26E46"/>
    <w:rsid w:val="00B401DF"/>
    <w:rsid w:val="00B40651"/>
    <w:rsid w:val="00B760A6"/>
    <w:rsid w:val="00B80080"/>
    <w:rsid w:val="00B82E3C"/>
    <w:rsid w:val="00B87DE7"/>
    <w:rsid w:val="00B9264A"/>
    <w:rsid w:val="00BB4ED7"/>
    <w:rsid w:val="00BB5434"/>
    <w:rsid w:val="00BB569E"/>
    <w:rsid w:val="00BC5F44"/>
    <w:rsid w:val="00BE7804"/>
    <w:rsid w:val="00BF39B4"/>
    <w:rsid w:val="00BF6054"/>
    <w:rsid w:val="00C0018F"/>
    <w:rsid w:val="00C06E31"/>
    <w:rsid w:val="00C530B9"/>
    <w:rsid w:val="00C57261"/>
    <w:rsid w:val="00C8001C"/>
    <w:rsid w:val="00C82EE5"/>
    <w:rsid w:val="00C91217"/>
    <w:rsid w:val="00CE5569"/>
    <w:rsid w:val="00D30743"/>
    <w:rsid w:val="00D3210E"/>
    <w:rsid w:val="00D42F45"/>
    <w:rsid w:val="00D5498D"/>
    <w:rsid w:val="00D633A9"/>
    <w:rsid w:val="00D83206"/>
    <w:rsid w:val="00D8452B"/>
    <w:rsid w:val="00DB3F68"/>
    <w:rsid w:val="00DB4C5C"/>
    <w:rsid w:val="00DC074C"/>
    <w:rsid w:val="00E310EF"/>
    <w:rsid w:val="00E34D1D"/>
    <w:rsid w:val="00E533D5"/>
    <w:rsid w:val="00E5678B"/>
    <w:rsid w:val="00E71732"/>
    <w:rsid w:val="00EA23D2"/>
    <w:rsid w:val="00EA59B1"/>
    <w:rsid w:val="00ED3053"/>
    <w:rsid w:val="00EF1D76"/>
    <w:rsid w:val="00EF3315"/>
    <w:rsid w:val="00F03B61"/>
    <w:rsid w:val="00F24EC4"/>
    <w:rsid w:val="00F40154"/>
    <w:rsid w:val="00F83979"/>
    <w:rsid w:val="00F912B2"/>
    <w:rsid w:val="00FB4E5D"/>
    <w:rsid w:val="00FC2C07"/>
    <w:rsid w:val="00FE56D7"/>
    <w:rsid w:val="00FE7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632D7"/>
  <w15:chartTrackingRefBased/>
  <w15:docId w15:val="{7368C1D2-1D61-4010-8878-6FDB4A2F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37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037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037A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037A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037A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037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37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37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37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7A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37A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37A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37A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037A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037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37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37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37A4"/>
    <w:rPr>
      <w:rFonts w:eastAsiaTheme="majorEastAsia" w:cstheme="majorBidi"/>
      <w:color w:val="272727" w:themeColor="text1" w:themeTint="D8"/>
    </w:rPr>
  </w:style>
  <w:style w:type="paragraph" w:styleId="Title">
    <w:name w:val="Title"/>
    <w:basedOn w:val="Normal"/>
    <w:next w:val="Normal"/>
    <w:link w:val="TitleChar"/>
    <w:uiPriority w:val="10"/>
    <w:qFormat/>
    <w:rsid w:val="000037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7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37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37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37A4"/>
    <w:pPr>
      <w:spacing w:before="160"/>
      <w:jc w:val="center"/>
    </w:pPr>
    <w:rPr>
      <w:i/>
      <w:iCs/>
      <w:color w:val="404040" w:themeColor="text1" w:themeTint="BF"/>
    </w:rPr>
  </w:style>
  <w:style w:type="character" w:customStyle="1" w:styleId="QuoteChar">
    <w:name w:val="Quote Char"/>
    <w:basedOn w:val="DefaultParagraphFont"/>
    <w:link w:val="Quote"/>
    <w:uiPriority w:val="29"/>
    <w:rsid w:val="000037A4"/>
    <w:rPr>
      <w:i/>
      <w:iCs/>
      <w:color w:val="404040" w:themeColor="text1" w:themeTint="BF"/>
    </w:rPr>
  </w:style>
  <w:style w:type="paragraph" w:styleId="ListParagraph">
    <w:name w:val="List Paragraph"/>
    <w:basedOn w:val="Normal"/>
    <w:uiPriority w:val="34"/>
    <w:qFormat/>
    <w:rsid w:val="000037A4"/>
    <w:pPr>
      <w:ind w:left="720"/>
      <w:contextualSpacing/>
    </w:pPr>
  </w:style>
  <w:style w:type="character" w:styleId="IntenseEmphasis">
    <w:name w:val="Intense Emphasis"/>
    <w:basedOn w:val="DefaultParagraphFont"/>
    <w:uiPriority w:val="21"/>
    <w:qFormat/>
    <w:rsid w:val="000037A4"/>
    <w:rPr>
      <w:i/>
      <w:iCs/>
      <w:color w:val="2F5496" w:themeColor="accent1" w:themeShade="BF"/>
    </w:rPr>
  </w:style>
  <w:style w:type="paragraph" w:styleId="IntenseQuote">
    <w:name w:val="Intense Quote"/>
    <w:basedOn w:val="Normal"/>
    <w:next w:val="Normal"/>
    <w:link w:val="IntenseQuoteChar"/>
    <w:uiPriority w:val="30"/>
    <w:qFormat/>
    <w:rsid w:val="000037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037A4"/>
    <w:rPr>
      <w:i/>
      <w:iCs/>
      <w:color w:val="2F5496" w:themeColor="accent1" w:themeShade="BF"/>
    </w:rPr>
  </w:style>
  <w:style w:type="character" w:styleId="IntenseReference">
    <w:name w:val="Intense Reference"/>
    <w:basedOn w:val="DefaultParagraphFont"/>
    <w:uiPriority w:val="32"/>
    <w:qFormat/>
    <w:rsid w:val="000037A4"/>
    <w:rPr>
      <w:b/>
      <w:bCs/>
      <w:smallCaps/>
      <w:color w:val="2F5496" w:themeColor="accent1" w:themeShade="BF"/>
      <w:spacing w:val="5"/>
    </w:rPr>
  </w:style>
  <w:style w:type="paragraph" w:styleId="FootnoteText">
    <w:name w:val="footnote text"/>
    <w:basedOn w:val="Normal"/>
    <w:link w:val="FootnoteTextChar"/>
    <w:uiPriority w:val="99"/>
    <w:semiHidden/>
    <w:unhideWhenUsed/>
    <w:rsid w:val="006A73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735C"/>
    <w:rPr>
      <w:sz w:val="20"/>
      <w:szCs w:val="20"/>
    </w:rPr>
  </w:style>
  <w:style w:type="character" w:styleId="FootnoteReference">
    <w:name w:val="footnote reference"/>
    <w:basedOn w:val="DefaultParagraphFont"/>
    <w:uiPriority w:val="99"/>
    <w:semiHidden/>
    <w:unhideWhenUsed/>
    <w:rsid w:val="006A735C"/>
    <w:rPr>
      <w:vertAlign w:val="superscript"/>
    </w:rPr>
  </w:style>
  <w:style w:type="character" w:styleId="Hyperlink">
    <w:name w:val="Hyperlink"/>
    <w:basedOn w:val="DefaultParagraphFont"/>
    <w:uiPriority w:val="99"/>
    <w:unhideWhenUsed/>
    <w:rsid w:val="006C073B"/>
    <w:rPr>
      <w:color w:val="0563C1" w:themeColor="hyperlink"/>
      <w:u w:val="single"/>
    </w:rPr>
  </w:style>
  <w:style w:type="character" w:customStyle="1" w:styleId="UnresolvedMention1">
    <w:name w:val="Unresolved Mention1"/>
    <w:basedOn w:val="DefaultParagraphFont"/>
    <w:uiPriority w:val="99"/>
    <w:semiHidden/>
    <w:unhideWhenUsed/>
    <w:rsid w:val="006C073B"/>
    <w:rPr>
      <w:color w:val="605E5C"/>
      <w:shd w:val="clear" w:color="auto" w:fill="E1DFDD"/>
    </w:rPr>
  </w:style>
  <w:style w:type="character" w:styleId="CommentReference">
    <w:name w:val="annotation reference"/>
    <w:basedOn w:val="DefaultParagraphFont"/>
    <w:uiPriority w:val="99"/>
    <w:semiHidden/>
    <w:unhideWhenUsed/>
    <w:rsid w:val="005649C4"/>
    <w:rPr>
      <w:sz w:val="16"/>
      <w:szCs w:val="16"/>
    </w:rPr>
  </w:style>
  <w:style w:type="paragraph" w:styleId="CommentText">
    <w:name w:val="annotation text"/>
    <w:basedOn w:val="Normal"/>
    <w:link w:val="CommentTextChar"/>
    <w:uiPriority w:val="99"/>
    <w:unhideWhenUsed/>
    <w:rsid w:val="005649C4"/>
    <w:pPr>
      <w:spacing w:line="240" w:lineRule="auto"/>
    </w:pPr>
    <w:rPr>
      <w:sz w:val="20"/>
      <w:szCs w:val="20"/>
    </w:rPr>
  </w:style>
  <w:style w:type="character" w:customStyle="1" w:styleId="CommentTextChar">
    <w:name w:val="Comment Text Char"/>
    <w:basedOn w:val="DefaultParagraphFont"/>
    <w:link w:val="CommentText"/>
    <w:uiPriority w:val="99"/>
    <w:rsid w:val="005649C4"/>
    <w:rPr>
      <w:sz w:val="20"/>
      <w:szCs w:val="20"/>
    </w:rPr>
  </w:style>
  <w:style w:type="paragraph" w:styleId="CommentSubject">
    <w:name w:val="annotation subject"/>
    <w:basedOn w:val="CommentText"/>
    <w:next w:val="CommentText"/>
    <w:link w:val="CommentSubjectChar"/>
    <w:uiPriority w:val="99"/>
    <w:semiHidden/>
    <w:unhideWhenUsed/>
    <w:rsid w:val="005649C4"/>
    <w:rPr>
      <w:b/>
      <w:bCs/>
    </w:rPr>
  </w:style>
  <w:style w:type="character" w:customStyle="1" w:styleId="CommentSubjectChar">
    <w:name w:val="Comment Subject Char"/>
    <w:basedOn w:val="CommentTextChar"/>
    <w:link w:val="CommentSubject"/>
    <w:uiPriority w:val="99"/>
    <w:semiHidden/>
    <w:rsid w:val="005649C4"/>
    <w:rPr>
      <w:b/>
      <w:bCs/>
      <w:sz w:val="20"/>
      <w:szCs w:val="20"/>
    </w:rPr>
  </w:style>
  <w:style w:type="paragraph" w:styleId="Revision">
    <w:name w:val="Revision"/>
    <w:hidden/>
    <w:uiPriority w:val="99"/>
    <w:semiHidden/>
    <w:rsid w:val="00A3731E"/>
    <w:pPr>
      <w:spacing w:after="0" w:line="240" w:lineRule="auto"/>
    </w:pPr>
  </w:style>
  <w:style w:type="paragraph" w:styleId="Header">
    <w:name w:val="header"/>
    <w:basedOn w:val="Normal"/>
    <w:link w:val="HeaderChar"/>
    <w:uiPriority w:val="99"/>
    <w:unhideWhenUsed/>
    <w:rsid w:val="009D2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0AC"/>
  </w:style>
  <w:style w:type="paragraph" w:styleId="Footer">
    <w:name w:val="footer"/>
    <w:basedOn w:val="Normal"/>
    <w:link w:val="FooterChar"/>
    <w:uiPriority w:val="99"/>
    <w:unhideWhenUsed/>
    <w:rsid w:val="009D2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0AC"/>
  </w:style>
  <w:style w:type="character" w:styleId="UnresolvedMention">
    <w:name w:val="Unresolved Mention"/>
    <w:basedOn w:val="DefaultParagraphFont"/>
    <w:uiPriority w:val="99"/>
    <w:rsid w:val="007A04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07933">
      <w:bodyDiv w:val="1"/>
      <w:marLeft w:val="0"/>
      <w:marRight w:val="0"/>
      <w:marTop w:val="0"/>
      <w:marBottom w:val="0"/>
      <w:divBdr>
        <w:top w:val="none" w:sz="0" w:space="0" w:color="auto"/>
        <w:left w:val="none" w:sz="0" w:space="0" w:color="auto"/>
        <w:bottom w:val="none" w:sz="0" w:space="0" w:color="auto"/>
        <w:right w:val="none" w:sz="0" w:space="0" w:color="auto"/>
      </w:divBdr>
    </w:div>
    <w:div w:id="125124306">
      <w:bodyDiv w:val="1"/>
      <w:marLeft w:val="0"/>
      <w:marRight w:val="0"/>
      <w:marTop w:val="0"/>
      <w:marBottom w:val="0"/>
      <w:divBdr>
        <w:top w:val="none" w:sz="0" w:space="0" w:color="auto"/>
        <w:left w:val="none" w:sz="0" w:space="0" w:color="auto"/>
        <w:bottom w:val="none" w:sz="0" w:space="0" w:color="auto"/>
        <w:right w:val="none" w:sz="0" w:space="0" w:color="auto"/>
      </w:divBdr>
    </w:div>
    <w:div w:id="166941605">
      <w:bodyDiv w:val="1"/>
      <w:marLeft w:val="0"/>
      <w:marRight w:val="0"/>
      <w:marTop w:val="0"/>
      <w:marBottom w:val="0"/>
      <w:divBdr>
        <w:top w:val="none" w:sz="0" w:space="0" w:color="auto"/>
        <w:left w:val="none" w:sz="0" w:space="0" w:color="auto"/>
        <w:bottom w:val="none" w:sz="0" w:space="0" w:color="auto"/>
        <w:right w:val="none" w:sz="0" w:space="0" w:color="auto"/>
      </w:divBdr>
    </w:div>
    <w:div w:id="293799785">
      <w:bodyDiv w:val="1"/>
      <w:marLeft w:val="0"/>
      <w:marRight w:val="0"/>
      <w:marTop w:val="0"/>
      <w:marBottom w:val="0"/>
      <w:divBdr>
        <w:top w:val="none" w:sz="0" w:space="0" w:color="auto"/>
        <w:left w:val="none" w:sz="0" w:space="0" w:color="auto"/>
        <w:bottom w:val="none" w:sz="0" w:space="0" w:color="auto"/>
        <w:right w:val="none" w:sz="0" w:space="0" w:color="auto"/>
      </w:divBdr>
    </w:div>
    <w:div w:id="407312601">
      <w:bodyDiv w:val="1"/>
      <w:marLeft w:val="0"/>
      <w:marRight w:val="0"/>
      <w:marTop w:val="0"/>
      <w:marBottom w:val="0"/>
      <w:divBdr>
        <w:top w:val="none" w:sz="0" w:space="0" w:color="auto"/>
        <w:left w:val="none" w:sz="0" w:space="0" w:color="auto"/>
        <w:bottom w:val="none" w:sz="0" w:space="0" w:color="auto"/>
        <w:right w:val="none" w:sz="0" w:space="0" w:color="auto"/>
      </w:divBdr>
    </w:div>
    <w:div w:id="570430506">
      <w:bodyDiv w:val="1"/>
      <w:marLeft w:val="0"/>
      <w:marRight w:val="0"/>
      <w:marTop w:val="0"/>
      <w:marBottom w:val="0"/>
      <w:divBdr>
        <w:top w:val="none" w:sz="0" w:space="0" w:color="auto"/>
        <w:left w:val="none" w:sz="0" w:space="0" w:color="auto"/>
        <w:bottom w:val="none" w:sz="0" w:space="0" w:color="auto"/>
        <w:right w:val="none" w:sz="0" w:space="0" w:color="auto"/>
      </w:divBdr>
    </w:div>
    <w:div w:id="584993911">
      <w:bodyDiv w:val="1"/>
      <w:marLeft w:val="0"/>
      <w:marRight w:val="0"/>
      <w:marTop w:val="0"/>
      <w:marBottom w:val="0"/>
      <w:divBdr>
        <w:top w:val="none" w:sz="0" w:space="0" w:color="auto"/>
        <w:left w:val="none" w:sz="0" w:space="0" w:color="auto"/>
        <w:bottom w:val="none" w:sz="0" w:space="0" w:color="auto"/>
        <w:right w:val="none" w:sz="0" w:space="0" w:color="auto"/>
      </w:divBdr>
    </w:div>
    <w:div w:id="601111988">
      <w:bodyDiv w:val="1"/>
      <w:marLeft w:val="0"/>
      <w:marRight w:val="0"/>
      <w:marTop w:val="0"/>
      <w:marBottom w:val="0"/>
      <w:divBdr>
        <w:top w:val="none" w:sz="0" w:space="0" w:color="auto"/>
        <w:left w:val="none" w:sz="0" w:space="0" w:color="auto"/>
        <w:bottom w:val="none" w:sz="0" w:space="0" w:color="auto"/>
        <w:right w:val="none" w:sz="0" w:space="0" w:color="auto"/>
      </w:divBdr>
    </w:div>
    <w:div w:id="617224624">
      <w:bodyDiv w:val="1"/>
      <w:marLeft w:val="0"/>
      <w:marRight w:val="0"/>
      <w:marTop w:val="0"/>
      <w:marBottom w:val="0"/>
      <w:divBdr>
        <w:top w:val="none" w:sz="0" w:space="0" w:color="auto"/>
        <w:left w:val="none" w:sz="0" w:space="0" w:color="auto"/>
        <w:bottom w:val="none" w:sz="0" w:space="0" w:color="auto"/>
        <w:right w:val="none" w:sz="0" w:space="0" w:color="auto"/>
      </w:divBdr>
    </w:div>
    <w:div w:id="765082150">
      <w:bodyDiv w:val="1"/>
      <w:marLeft w:val="0"/>
      <w:marRight w:val="0"/>
      <w:marTop w:val="0"/>
      <w:marBottom w:val="0"/>
      <w:divBdr>
        <w:top w:val="none" w:sz="0" w:space="0" w:color="auto"/>
        <w:left w:val="none" w:sz="0" w:space="0" w:color="auto"/>
        <w:bottom w:val="none" w:sz="0" w:space="0" w:color="auto"/>
        <w:right w:val="none" w:sz="0" w:space="0" w:color="auto"/>
      </w:divBdr>
    </w:div>
    <w:div w:id="907426229">
      <w:bodyDiv w:val="1"/>
      <w:marLeft w:val="0"/>
      <w:marRight w:val="0"/>
      <w:marTop w:val="0"/>
      <w:marBottom w:val="0"/>
      <w:divBdr>
        <w:top w:val="none" w:sz="0" w:space="0" w:color="auto"/>
        <w:left w:val="none" w:sz="0" w:space="0" w:color="auto"/>
        <w:bottom w:val="none" w:sz="0" w:space="0" w:color="auto"/>
        <w:right w:val="none" w:sz="0" w:space="0" w:color="auto"/>
      </w:divBdr>
    </w:div>
    <w:div w:id="1287855208">
      <w:bodyDiv w:val="1"/>
      <w:marLeft w:val="0"/>
      <w:marRight w:val="0"/>
      <w:marTop w:val="0"/>
      <w:marBottom w:val="0"/>
      <w:divBdr>
        <w:top w:val="none" w:sz="0" w:space="0" w:color="auto"/>
        <w:left w:val="none" w:sz="0" w:space="0" w:color="auto"/>
        <w:bottom w:val="none" w:sz="0" w:space="0" w:color="auto"/>
        <w:right w:val="none" w:sz="0" w:space="0" w:color="auto"/>
      </w:divBdr>
    </w:div>
    <w:div w:id="1446581081">
      <w:bodyDiv w:val="1"/>
      <w:marLeft w:val="0"/>
      <w:marRight w:val="0"/>
      <w:marTop w:val="0"/>
      <w:marBottom w:val="0"/>
      <w:divBdr>
        <w:top w:val="none" w:sz="0" w:space="0" w:color="auto"/>
        <w:left w:val="none" w:sz="0" w:space="0" w:color="auto"/>
        <w:bottom w:val="none" w:sz="0" w:space="0" w:color="auto"/>
        <w:right w:val="none" w:sz="0" w:space="0" w:color="auto"/>
      </w:divBdr>
    </w:div>
    <w:div w:id="1745058019">
      <w:bodyDiv w:val="1"/>
      <w:marLeft w:val="0"/>
      <w:marRight w:val="0"/>
      <w:marTop w:val="0"/>
      <w:marBottom w:val="0"/>
      <w:divBdr>
        <w:top w:val="none" w:sz="0" w:space="0" w:color="auto"/>
        <w:left w:val="none" w:sz="0" w:space="0" w:color="auto"/>
        <w:bottom w:val="none" w:sz="0" w:space="0" w:color="auto"/>
        <w:right w:val="none" w:sz="0" w:space="0" w:color="auto"/>
      </w:divBdr>
    </w:div>
    <w:div w:id="1853184028">
      <w:bodyDiv w:val="1"/>
      <w:marLeft w:val="0"/>
      <w:marRight w:val="0"/>
      <w:marTop w:val="0"/>
      <w:marBottom w:val="0"/>
      <w:divBdr>
        <w:top w:val="none" w:sz="0" w:space="0" w:color="auto"/>
        <w:left w:val="none" w:sz="0" w:space="0" w:color="auto"/>
        <w:bottom w:val="none" w:sz="0" w:space="0" w:color="auto"/>
        <w:right w:val="none" w:sz="0" w:space="0" w:color="auto"/>
      </w:divBdr>
    </w:div>
    <w:div w:id="196458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2.arb.ca.gov/sites/default/files/barcu/regact/2024/lcfs2024/15day_atta-1.pdf" TargetMode="External"/><Relationship Id="rId2" Type="http://schemas.openxmlformats.org/officeDocument/2006/relationships/hyperlink" Target="https://ww2.arb.ca.gov/sites/default/files/2020-07/2020_lcfs_fro_oal-approved_unofficial_06302020.pdf" TargetMode="External"/><Relationship Id="rId1" Type="http://schemas.openxmlformats.org/officeDocument/2006/relationships/hyperlink" Target="https://url.avanan.click/v2/___https://www.eia.gov/dnav/pet/PET_CONS_821USE_DCU_SVT_A.htm___.YXAzOmNsZWFuZnVlbHM6YTpvOjc3Zjc0MTU3MmM5OTQ5NDkwMDAzMmNiOTIzMzQ0OGJmOjY6NTk2Nzo2MDllMGY3OGQwZmU2ZTU2MjE1ZDFjZjNmNDEyZjA3MDgxMmZjN2Y2MDdkYTlhNDBhNDNhODljNWYwMzRjOWFiOnA6Rj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CDDE91DC93241B534329C5C558FF0" ma:contentTypeVersion="16" ma:contentTypeDescription="Create a new document." ma:contentTypeScope="" ma:versionID="a40a1ca32f631c168870cd839ee6ce97">
  <xsd:schema xmlns:xsd="http://www.w3.org/2001/XMLSchema" xmlns:xs="http://www.w3.org/2001/XMLSchema" xmlns:p="http://schemas.microsoft.com/office/2006/metadata/properties" xmlns:ns2="de5b7575-6970-4123-9b3d-ce42a5bdb4a7" xmlns:ns3="4c800a8d-541a-4bfe-958f-7480bbd87280" targetNamespace="http://schemas.microsoft.com/office/2006/metadata/properties" ma:root="true" ma:fieldsID="5665edd9375cd4ce2dee868e6409dd6c" ns2:_="" ns3:_="">
    <xsd:import namespace="de5b7575-6970-4123-9b3d-ce42a5bdb4a7"/>
    <xsd:import namespace="4c800a8d-541a-4bfe-958f-7480bbd872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7575-6970-4123-9b3d-ce42a5bdb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89c3ad-d0ae-4b22-aff5-79af7a3dbe7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800a8d-541a-4bfe-958f-7480bbd8728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071022e-3e19-4134-be24-49d5672793fc}" ma:internalName="TaxCatchAll" ma:showField="CatchAllData" ma:web="4c800a8d-541a-4bfe-958f-7480bbd87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5b7575-6970-4123-9b3d-ce42a5bdb4a7">
      <Terms xmlns="http://schemas.microsoft.com/office/infopath/2007/PartnerControls"/>
    </lcf76f155ced4ddcb4097134ff3c332f>
    <TaxCatchAll xmlns="4c800a8d-541a-4bfe-958f-7480bbd8728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6864BC-BC77-40F8-B76C-BFEE00972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7575-6970-4123-9b3d-ce42a5bdb4a7"/>
    <ds:schemaRef ds:uri="4c800a8d-541a-4bfe-958f-7480bbd87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EF239B-8DED-48D0-B38B-876392A42A89}">
  <ds:schemaRefs>
    <ds:schemaRef ds:uri="http://schemas.openxmlformats.org/officeDocument/2006/bibliography"/>
  </ds:schemaRefs>
</ds:datastoreItem>
</file>

<file path=customXml/itemProps3.xml><?xml version="1.0" encoding="utf-8"?>
<ds:datastoreItem xmlns:ds="http://schemas.openxmlformats.org/officeDocument/2006/customXml" ds:itemID="{06B81814-4F38-4C05-90AF-5981E2D7A39C}">
  <ds:schemaRefs>
    <ds:schemaRef ds:uri="http://schemas.microsoft.com/office/2006/metadata/properties"/>
    <ds:schemaRef ds:uri="http://schemas.microsoft.com/office/infopath/2007/PartnerControls"/>
    <ds:schemaRef ds:uri="de5b7575-6970-4123-9b3d-ce42a5bdb4a7"/>
    <ds:schemaRef ds:uri="4c800a8d-541a-4bfe-958f-7480bbd87280"/>
  </ds:schemaRefs>
</ds:datastoreItem>
</file>

<file path=customXml/itemProps4.xml><?xml version="1.0" encoding="utf-8"?>
<ds:datastoreItem xmlns:ds="http://schemas.openxmlformats.org/officeDocument/2006/customXml" ds:itemID="{FF0787A1-9278-4AF4-8133-02292BB41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1654</Words>
  <Characters>9431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Floyd Vergara</dc:creator>
  <cp:lastModifiedBy>Catherine Morris</cp:lastModifiedBy>
  <cp:revision>2</cp:revision>
  <cp:lastPrinted>2024-10-15T19:15:00Z</cp:lastPrinted>
  <dcterms:created xsi:type="dcterms:W3CDTF">2024-10-15T22:11:00Z</dcterms:created>
  <dcterms:modified xsi:type="dcterms:W3CDTF">2024-10-15T22:11:00Z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0x010100011CDDE91DC93241B534329C5C558FF0</vt:lpwstr>
  </property>
  <property fmtid="{D5CDD505-2E9C-101B-9397-08002B2CF9AE}" pid="3" name="MediaServiceImageTags">
    <vt:lpwstr/>
  </property>
</Properties>
</file>