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1B11C" w14:textId="77777777" w:rsidR="00EA7976" w:rsidRPr="00C50632" w:rsidRDefault="00EA7976" w:rsidP="00EA7976">
      <w:pPr>
        <w:pStyle w:val="BodyText"/>
        <w:spacing w:before="81"/>
        <w:ind w:left="140" w:right="-100"/>
        <w:rPr>
          <w:rFonts w:asciiTheme="minorHAnsi" w:hAnsiTheme="minorHAnsi" w:cstheme="minorHAnsi"/>
        </w:rPr>
      </w:pPr>
      <w:r w:rsidRPr="00C50632">
        <w:rPr>
          <w:rFonts w:asciiTheme="minorHAnsi" w:hAnsiTheme="minorHAnsi" w:cstheme="minorHAnsi"/>
        </w:rPr>
        <w:t>Opinion Dynamics Responses: TAG Responses to Opinion Dynamics’ Responses to TAG’s 8 July 2024 memo [Draft]</w:t>
      </w:r>
    </w:p>
    <w:p w14:paraId="7F4456AF" w14:textId="1BACE0BE" w:rsidR="00EA7976" w:rsidRPr="00A45463" w:rsidRDefault="00EA7976" w:rsidP="00EA7976">
      <w:pPr>
        <w:pStyle w:val="BodyText"/>
        <w:spacing w:before="81"/>
        <w:ind w:left="140" w:right="-100"/>
        <w:rPr>
          <w:rFonts w:asciiTheme="minorHAnsi" w:hAnsiTheme="minorHAnsi" w:cstheme="minorHAnsi"/>
        </w:rPr>
      </w:pPr>
      <w:r w:rsidRPr="00A45463">
        <w:rPr>
          <w:rFonts w:asciiTheme="minorHAnsi" w:hAnsiTheme="minorHAnsi" w:cstheme="minorHAnsi"/>
        </w:rPr>
        <w:t>Date: 1</w:t>
      </w:r>
      <w:r w:rsidR="00A45463">
        <w:rPr>
          <w:rFonts w:asciiTheme="minorHAnsi" w:hAnsiTheme="minorHAnsi" w:cstheme="minorHAnsi"/>
        </w:rPr>
        <w:t>5</w:t>
      </w:r>
      <w:r w:rsidRPr="00A45463">
        <w:rPr>
          <w:rFonts w:asciiTheme="minorHAnsi" w:hAnsiTheme="minorHAnsi" w:cstheme="minorHAnsi"/>
        </w:rPr>
        <w:t xml:space="preserve"> August 2024</w:t>
      </w:r>
    </w:p>
    <w:p w14:paraId="61915272" w14:textId="7158E575" w:rsidR="00EF2C7E" w:rsidRPr="00A45463" w:rsidRDefault="00EA7976" w:rsidP="00EA7976">
      <w:pPr>
        <w:pStyle w:val="BodyText"/>
        <w:spacing w:line="293" w:lineRule="exact"/>
        <w:ind w:left="104"/>
        <w:rPr>
          <w:rFonts w:asciiTheme="minorHAnsi" w:hAnsiTheme="minorHAnsi" w:cstheme="minorHAnsi"/>
        </w:rPr>
      </w:pPr>
      <w:r w:rsidRPr="00A45463">
        <w:rPr>
          <w:rFonts w:asciiTheme="minorHAnsi" w:hAnsiTheme="minorHAnsi" w:cstheme="minorHAnsi"/>
        </w:rPr>
        <w:t xml:space="preserve">Note: TAG original in black font, </w:t>
      </w:r>
      <w:r w:rsidRPr="00A45463">
        <w:rPr>
          <w:rFonts w:asciiTheme="minorHAnsi" w:hAnsiTheme="minorHAnsi" w:cstheme="minorHAnsi"/>
          <w:color w:val="265EAC"/>
        </w:rPr>
        <w:t>Opinion Dynamics responses in blue</w:t>
      </w:r>
      <w:r w:rsidRPr="00A45463">
        <w:rPr>
          <w:rFonts w:asciiTheme="minorHAnsi" w:hAnsiTheme="minorHAnsi" w:cstheme="minorHAnsi"/>
        </w:rPr>
        <w:t>, and</w:t>
      </w:r>
      <w:r w:rsidRPr="00A45463">
        <w:rPr>
          <w:rFonts w:asciiTheme="minorHAnsi" w:hAnsiTheme="minorHAnsi" w:cstheme="minorHAnsi"/>
          <w:color w:val="FF0000"/>
        </w:rPr>
        <w:t xml:space="preserve"> TAG responses in red</w:t>
      </w:r>
      <w:r w:rsidR="00855A94" w:rsidRPr="00A45463">
        <w:rPr>
          <w:rFonts w:asciiTheme="minorHAnsi" w:hAnsiTheme="minorHAnsi" w:cstheme="minorHAnsi"/>
        </w:rPr>
        <w:t xml:space="preserve">. </w:t>
      </w:r>
      <w:r w:rsidR="00855A94" w:rsidRPr="00A45463">
        <w:rPr>
          <w:rFonts w:asciiTheme="minorHAnsi" w:hAnsiTheme="minorHAnsi" w:cstheme="minorHAnsi"/>
          <w:color w:val="4F6228" w:themeColor="accent3" w:themeShade="80"/>
        </w:rPr>
        <w:t>Opinion Dynamics responses to TAG responses in green.</w:t>
      </w:r>
    </w:p>
    <w:p w14:paraId="1F14BC41" w14:textId="77777777" w:rsidR="00EF2C7E" w:rsidRDefault="00EF2C7E">
      <w:pPr>
        <w:pStyle w:val="BodyText"/>
        <w:rPr>
          <w:rFonts w:ascii="Calibri"/>
        </w:rPr>
      </w:pPr>
    </w:p>
    <w:p w14:paraId="7986BF1C" w14:textId="77777777" w:rsidR="00EF2C7E" w:rsidRDefault="00E92E8F">
      <w:pPr>
        <w:pStyle w:val="BodyText"/>
        <w:ind w:left="4260"/>
        <w:rPr>
          <w:rFonts w:ascii="Calibri"/>
        </w:rPr>
      </w:pPr>
      <w:r>
        <w:rPr>
          <w:rFonts w:ascii="Calibri"/>
        </w:rPr>
        <w:t>* * * * *</w:t>
      </w:r>
    </w:p>
    <w:p w14:paraId="415E8989" w14:textId="77777777" w:rsidR="00EF2C7E" w:rsidRDefault="00EF2C7E">
      <w:pPr>
        <w:pStyle w:val="BodyText"/>
        <w:spacing w:before="11"/>
        <w:rPr>
          <w:rFonts w:ascii="Calibri"/>
          <w:sz w:val="28"/>
        </w:rPr>
      </w:pPr>
    </w:p>
    <w:p w14:paraId="62CF2A0E" w14:textId="77777777" w:rsidR="00EF2C7E" w:rsidRDefault="00E92E8F">
      <w:pPr>
        <w:pStyle w:val="BodyText"/>
        <w:ind w:left="100" w:right="2252"/>
      </w:pPr>
      <w:r>
        <w:t>To: Deirdre Morris, Thomas Knauer, Vermont Public Utility Commission From: Rick Weston, Chair, CHS Technical Advisory Group</w:t>
      </w:r>
    </w:p>
    <w:p w14:paraId="408D3A65" w14:textId="77777777" w:rsidR="00EF2C7E" w:rsidRDefault="00E92E8F">
      <w:pPr>
        <w:pStyle w:val="BodyText"/>
        <w:spacing w:before="2"/>
        <w:ind w:left="100" w:right="7359"/>
      </w:pPr>
      <w:r>
        <w:t>Date: 8 July 2024 cc.: TAG members</w:t>
      </w:r>
    </w:p>
    <w:p w14:paraId="05061055" w14:textId="77777777" w:rsidR="00EF2C7E" w:rsidRDefault="00EF2C7E">
      <w:pPr>
        <w:pStyle w:val="BodyText"/>
        <w:spacing w:before="8"/>
        <w:rPr>
          <w:sz w:val="23"/>
        </w:rPr>
      </w:pPr>
    </w:p>
    <w:p w14:paraId="54AD45F9" w14:textId="77777777" w:rsidR="00EF2C7E" w:rsidRDefault="00E92E8F">
      <w:pPr>
        <w:pStyle w:val="BodyText"/>
        <w:tabs>
          <w:tab w:val="left" w:pos="9150"/>
        </w:tabs>
        <w:ind w:left="100"/>
      </w:pPr>
      <w:r>
        <w:rPr>
          <w:u w:val="thick"/>
        </w:rPr>
        <w:t>Re: Early Win Measure</w:t>
      </w:r>
      <w:r>
        <w:rPr>
          <w:spacing w:val="-5"/>
          <w:u w:val="thick"/>
        </w:rPr>
        <w:t xml:space="preserve"> </w:t>
      </w:r>
      <w:r>
        <w:rPr>
          <w:u w:val="thick"/>
        </w:rPr>
        <w:t>Characterizations</w:t>
      </w:r>
      <w:r>
        <w:rPr>
          <w:u w:val="thick"/>
        </w:rPr>
        <w:tab/>
      </w:r>
    </w:p>
    <w:p w14:paraId="16624B09" w14:textId="77777777" w:rsidR="00EF2C7E" w:rsidRDefault="00EF2C7E">
      <w:pPr>
        <w:pStyle w:val="BodyText"/>
        <w:spacing w:before="5"/>
        <w:rPr>
          <w:sz w:val="28"/>
        </w:rPr>
      </w:pPr>
    </w:p>
    <w:p w14:paraId="53E5491F" w14:textId="77777777" w:rsidR="00EF2C7E" w:rsidRDefault="00E92E8F">
      <w:pPr>
        <w:pStyle w:val="BodyText"/>
        <w:ind w:left="100" w:right="183"/>
      </w:pPr>
      <w:r>
        <w:t>Members of the TAG have reviewed Opinion Dynamics’ document, “Vermont Clean Heat Standard: Early Win Measure Characterizations” and its cover memo, dated June 28</w:t>
      </w:r>
      <w:proofErr w:type="spellStart"/>
      <w:r>
        <w:rPr>
          <w:position w:val="9"/>
          <w:sz w:val="14"/>
        </w:rPr>
        <w:t>th</w:t>
      </w:r>
      <w:proofErr w:type="spellEnd"/>
      <w:r>
        <w:t>. In preparation for the upcoming meeting of the full TAG (this Thursday, July 11</w:t>
      </w:r>
      <w:proofErr w:type="spellStart"/>
      <w:r>
        <w:rPr>
          <w:position w:val="9"/>
          <w:sz w:val="14"/>
        </w:rPr>
        <w:t>th</w:t>
      </w:r>
      <w:proofErr w:type="spellEnd"/>
      <w:r>
        <w:t xml:space="preserve">) and our discussion with Opinion Dynamics staff about the characterizations, a subset of TAG members met today to share reactions to the documents and identify questions and issues in want of fuller exploration. I forward them to you now, </w:t>
      </w:r>
      <w:proofErr w:type="gramStart"/>
      <w:r>
        <w:t>for sharing</w:t>
      </w:r>
      <w:proofErr w:type="gramEnd"/>
      <w:r>
        <w:t xml:space="preserve"> with Opinion Dynamics before Thursday’s meeting. The outline of our questions follows that of the characterizations document.</w:t>
      </w:r>
    </w:p>
    <w:p w14:paraId="1E331496" w14:textId="77777777" w:rsidR="00EF2C7E" w:rsidRDefault="00EF2C7E">
      <w:pPr>
        <w:pStyle w:val="BodyText"/>
        <w:spacing w:before="10"/>
        <w:rPr>
          <w:sz w:val="22"/>
        </w:rPr>
      </w:pPr>
    </w:p>
    <w:p w14:paraId="28A98EAB" w14:textId="77777777" w:rsidR="00EF2C7E" w:rsidRDefault="00E92E8F">
      <w:pPr>
        <w:pStyle w:val="BodyText"/>
        <w:ind w:left="100"/>
      </w:pPr>
      <w:r>
        <w:t>Thank you.</w:t>
      </w:r>
    </w:p>
    <w:p w14:paraId="0BD2F73D" w14:textId="77777777" w:rsidR="00EF2C7E" w:rsidRDefault="00EF2C7E">
      <w:pPr>
        <w:pStyle w:val="BodyText"/>
        <w:spacing w:before="7"/>
      </w:pPr>
    </w:p>
    <w:p w14:paraId="37638CB8" w14:textId="77777777" w:rsidR="00EF2C7E" w:rsidRDefault="00E92E8F">
      <w:pPr>
        <w:pStyle w:val="Heading1"/>
        <w:spacing w:before="1"/>
        <w:ind w:left="4196"/>
      </w:pPr>
      <w:r>
        <w:t>* * * * *</w:t>
      </w:r>
    </w:p>
    <w:p w14:paraId="011A331C" w14:textId="77777777" w:rsidR="00EF2C7E" w:rsidRDefault="00EF2C7E">
      <w:pPr>
        <w:pStyle w:val="BodyText"/>
        <w:spacing w:before="2"/>
        <w:rPr>
          <w:b/>
        </w:rPr>
      </w:pPr>
    </w:p>
    <w:p w14:paraId="6527587D" w14:textId="77777777" w:rsidR="00EF2C7E" w:rsidRDefault="00E92E8F">
      <w:pPr>
        <w:spacing w:line="264" w:lineRule="exact"/>
        <w:ind w:left="100"/>
        <w:rPr>
          <w:b/>
          <w:sz w:val="24"/>
        </w:rPr>
      </w:pPr>
      <w:r>
        <w:rPr>
          <w:b/>
          <w:sz w:val="24"/>
        </w:rPr>
        <w:t>Building Envelop Measures</w:t>
      </w:r>
    </w:p>
    <w:p w14:paraId="317AB0C4" w14:textId="77777777" w:rsidR="00EF2C7E" w:rsidRDefault="00E92E8F">
      <w:pPr>
        <w:pStyle w:val="ListParagraph"/>
        <w:numPr>
          <w:ilvl w:val="0"/>
          <w:numId w:val="3"/>
        </w:numPr>
        <w:tabs>
          <w:tab w:val="left" w:pos="819"/>
          <w:tab w:val="left" w:pos="820"/>
        </w:tabs>
        <w:ind w:right="195" w:hanging="361"/>
        <w:rPr>
          <w:rFonts w:ascii="Symbol" w:hAnsi="Symbol"/>
          <w:color w:val="265EAC"/>
          <w:sz w:val="24"/>
        </w:rPr>
      </w:pPr>
      <w:r>
        <w:rPr>
          <w:sz w:val="24"/>
        </w:rPr>
        <w:t>The formula for calculating the emissions-reduction effects of weatherization employs area of insulation installed as a key variable. How does it relate to the square footage of the building served, such that the formula in some way accounts for the varying type and size of buildings? Put another way, there’s a question about whether average residential fuel mix and heat load are sufficient for the purposes of the</w:t>
      </w:r>
      <w:r>
        <w:rPr>
          <w:spacing w:val="-7"/>
          <w:sz w:val="24"/>
        </w:rPr>
        <w:t xml:space="preserve"> </w:t>
      </w:r>
      <w:r>
        <w:rPr>
          <w:sz w:val="24"/>
        </w:rPr>
        <w:t>CHS.</w:t>
      </w:r>
    </w:p>
    <w:p w14:paraId="4ADC3016" w14:textId="77777777" w:rsidR="00EF2C7E" w:rsidRDefault="00EF2C7E">
      <w:pPr>
        <w:pStyle w:val="BodyText"/>
        <w:spacing w:before="8"/>
        <w:rPr>
          <w:sz w:val="23"/>
        </w:rPr>
      </w:pPr>
    </w:p>
    <w:p w14:paraId="7C2D9082" w14:textId="77777777" w:rsidR="00EF2C7E" w:rsidRDefault="00E92E8F">
      <w:pPr>
        <w:pStyle w:val="BodyText"/>
        <w:ind w:left="820" w:right="329"/>
      </w:pPr>
      <w:r>
        <w:rPr>
          <w:color w:val="265EAC"/>
        </w:rPr>
        <w:t>In its current form, the residential building shell insulation measure is agnostic towards the type, size or heating load of buildings; the algorithm calculates savings based on the change in conductive heat loss over the area in which insulation is installed. The conductive heat loss in Btu/h is directly proportional to insulation surface area and temperature differential and inversely proportional to thermal resistance (R-value). The surface area and R-values (pre and post) will vary by job.</w:t>
      </w:r>
    </w:p>
    <w:p w14:paraId="7B0DC73B" w14:textId="77777777" w:rsidR="00EF2C7E" w:rsidRDefault="00EF2C7E">
      <w:pPr>
        <w:pStyle w:val="BodyText"/>
        <w:spacing w:before="1"/>
      </w:pPr>
    </w:p>
    <w:p w14:paraId="5AA113F3" w14:textId="77777777" w:rsidR="00EF2C7E" w:rsidRDefault="00E92E8F">
      <w:pPr>
        <w:pStyle w:val="BodyText"/>
        <w:ind w:left="820" w:right="250"/>
      </w:pPr>
      <w:r>
        <w:rPr>
          <w:color w:val="265EAC"/>
        </w:rPr>
        <w:t>Regarding the heating fuel, the measure characterization in its current form provides options for either assuming an average heating fuel mix or collecting the heating fuel as site-specific input. The latter approach provides more certainty in the savings results but increases administrative costs. If the TAG and PUC feel that more specificity is needed, we could modify the characterization to allow one approach or the other. We welcome additional feedback from the TAG on data collection requirements for this measure and all measures more broadly.</w:t>
      </w:r>
    </w:p>
    <w:p w14:paraId="7087324F" w14:textId="77777777" w:rsidR="00EF2C7E" w:rsidRDefault="00EF2C7E">
      <w:pPr>
        <w:pStyle w:val="BodyText"/>
      </w:pPr>
    </w:p>
    <w:p w14:paraId="50DE5664" w14:textId="27023490" w:rsidR="00EF2C7E" w:rsidRDefault="00E92E8F" w:rsidP="00F30DAB">
      <w:pPr>
        <w:pStyle w:val="BodyText"/>
        <w:ind w:left="820" w:right="194"/>
      </w:pPr>
      <w:r>
        <w:rPr>
          <w:color w:val="FF0000"/>
        </w:rPr>
        <w:t xml:space="preserve">TAG: We are satisfied with the response regarding measuring insulation savings. (For shorthand later in the document: “OK”) As for fuel mix, using the average fuel mix has </w:t>
      </w:r>
      <w:r>
        <w:rPr>
          <w:color w:val="FF0000"/>
        </w:rPr>
        <w:lastRenderedPageBreak/>
        <w:t xml:space="preserve">potential administrative benefits (in simplicity, fairness, and efficiency), but </w:t>
      </w:r>
      <w:proofErr w:type="gramStart"/>
      <w:r>
        <w:rPr>
          <w:color w:val="FF0000"/>
        </w:rPr>
        <w:t>also</w:t>
      </w:r>
      <w:proofErr w:type="gramEnd"/>
      <w:r>
        <w:rPr>
          <w:color w:val="FF0000"/>
        </w:rPr>
        <w:t xml:space="preserve"> we think that, in order to give obligated parties flexibility to meet their obligations, they should</w:t>
      </w:r>
      <w:r w:rsidR="00F30DAB">
        <w:rPr>
          <w:color w:val="FF0000"/>
        </w:rPr>
        <w:t xml:space="preserve"> </w:t>
      </w:r>
      <w:r>
        <w:rPr>
          <w:color w:val="FF0000"/>
        </w:rPr>
        <w:t>have the opportunity to rely on site-specific data (documented and verifiable) if they so choose. We realize this raises questions about, among other things, program administration, point-of-market interfaces, the derating of the average mix to account for site-specific savings, and the kinds of registry data that will be required. Moreover, we want to mitigate undue biases in the program. At present, the use of the average fuel mix is best practice. We remain open to whether and how it might be modified in the future.</w:t>
      </w:r>
    </w:p>
    <w:p w14:paraId="7CA52B64" w14:textId="77777777" w:rsidR="00EF2C7E" w:rsidRDefault="00EF2C7E">
      <w:pPr>
        <w:pStyle w:val="BodyText"/>
        <w:spacing w:before="4"/>
      </w:pPr>
    </w:p>
    <w:p w14:paraId="677E9F33" w14:textId="77777777" w:rsidR="00EF2C7E" w:rsidRDefault="00E92E8F">
      <w:pPr>
        <w:pStyle w:val="ListParagraph"/>
        <w:numPr>
          <w:ilvl w:val="0"/>
          <w:numId w:val="3"/>
        </w:numPr>
        <w:tabs>
          <w:tab w:val="left" w:pos="819"/>
          <w:tab w:val="left" w:pos="820"/>
        </w:tabs>
        <w:ind w:right="269" w:hanging="361"/>
        <w:rPr>
          <w:rFonts w:ascii="Symbol" w:hAnsi="Symbol"/>
          <w:color w:val="265EAC"/>
          <w:sz w:val="24"/>
        </w:rPr>
      </w:pPr>
      <w:r>
        <w:rPr>
          <w:sz w:val="24"/>
        </w:rPr>
        <w:t>Where partial building weatherization occurs (e.g., just one unit in a three-unit building), how will the savings be calculated and what data will be used to measure the</w:t>
      </w:r>
      <w:r>
        <w:rPr>
          <w:spacing w:val="-22"/>
          <w:sz w:val="24"/>
        </w:rPr>
        <w:t xml:space="preserve"> </w:t>
      </w:r>
      <w:r>
        <w:rPr>
          <w:sz w:val="24"/>
        </w:rPr>
        <w:t>savings?</w:t>
      </w:r>
    </w:p>
    <w:p w14:paraId="7FAE5BBD" w14:textId="77777777" w:rsidR="00EF2C7E" w:rsidRDefault="00EF2C7E">
      <w:pPr>
        <w:pStyle w:val="BodyText"/>
        <w:spacing w:before="6"/>
      </w:pPr>
    </w:p>
    <w:p w14:paraId="5F02574C" w14:textId="77777777" w:rsidR="00EF2C7E" w:rsidRDefault="00E92E8F">
      <w:pPr>
        <w:pStyle w:val="BodyText"/>
        <w:ind w:left="820" w:right="633"/>
      </w:pPr>
      <w:r>
        <w:rPr>
          <w:color w:val="265EAC"/>
        </w:rPr>
        <w:t>The current measure design facilitates this type of scenario. Here, the implementer would capture the surface area of insulation installed in square feet, its location (attic/ceiling, exterior wall, or basement) and the pre- and post-R-values of the insulation. The heating system fuel and system type could optionally be captured, or blended values could be assumed.</w:t>
      </w:r>
    </w:p>
    <w:p w14:paraId="77DBDF57" w14:textId="77777777" w:rsidR="00EF2C7E" w:rsidRDefault="00EF2C7E">
      <w:pPr>
        <w:pStyle w:val="BodyText"/>
        <w:spacing w:before="7"/>
      </w:pPr>
    </w:p>
    <w:p w14:paraId="4913F98D" w14:textId="77777777" w:rsidR="00EF2C7E" w:rsidRDefault="00E92E8F">
      <w:pPr>
        <w:pStyle w:val="BodyText"/>
        <w:ind w:left="820"/>
      </w:pPr>
      <w:r>
        <w:rPr>
          <w:color w:val="FF0000"/>
        </w:rPr>
        <w:t>TAG: Partial building weatherization appears to be captured by this approach.</w:t>
      </w:r>
    </w:p>
    <w:p w14:paraId="1E597443" w14:textId="77777777" w:rsidR="00EF2C7E" w:rsidRDefault="00EF2C7E">
      <w:pPr>
        <w:pStyle w:val="BodyText"/>
        <w:spacing w:before="2"/>
      </w:pPr>
    </w:p>
    <w:p w14:paraId="68CDE03D" w14:textId="77777777" w:rsidR="00EF2C7E" w:rsidRDefault="00E92E8F">
      <w:pPr>
        <w:pStyle w:val="ListParagraph"/>
        <w:numPr>
          <w:ilvl w:val="0"/>
          <w:numId w:val="3"/>
        </w:numPr>
        <w:tabs>
          <w:tab w:val="left" w:pos="819"/>
          <w:tab w:val="left" w:pos="820"/>
        </w:tabs>
        <w:ind w:right="142" w:hanging="361"/>
        <w:rPr>
          <w:rFonts w:ascii="Symbol" w:hAnsi="Symbol"/>
          <w:color w:val="265EAC"/>
          <w:sz w:val="24"/>
        </w:rPr>
      </w:pPr>
      <w:r>
        <w:rPr>
          <w:sz w:val="24"/>
        </w:rPr>
        <w:t xml:space="preserve">Weatherization improvements target not only insufficient insulation, but also air infiltration. It is not clear that air infiltration is addressed in this measure characterization. What assumptions are being made in this respect and how are potential savings from improved </w:t>
      </w:r>
      <w:proofErr w:type="gramStart"/>
      <w:r>
        <w:rPr>
          <w:sz w:val="24"/>
        </w:rPr>
        <w:t>air-tightness</w:t>
      </w:r>
      <w:proofErr w:type="gramEnd"/>
      <w:r>
        <w:rPr>
          <w:sz w:val="24"/>
        </w:rPr>
        <w:t xml:space="preserve"> being</w:t>
      </w:r>
      <w:r>
        <w:rPr>
          <w:spacing w:val="-4"/>
          <w:sz w:val="24"/>
        </w:rPr>
        <w:t xml:space="preserve"> </w:t>
      </w:r>
      <w:r>
        <w:rPr>
          <w:sz w:val="24"/>
        </w:rPr>
        <w:t>captured?</w:t>
      </w:r>
    </w:p>
    <w:p w14:paraId="3D208350" w14:textId="77777777" w:rsidR="00EF2C7E" w:rsidRDefault="00EF2C7E">
      <w:pPr>
        <w:pStyle w:val="BodyText"/>
        <w:spacing w:before="3"/>
      </w:pPr>
    </w:p>
    <w:p w14:paraId="235A7745" w14:textId="77777777" w:rsidR="00EF2C7E" w:rsidRDefault="00E92E8F">
      <w:pPr>
        <w:pStyle w:val="BodyText"/>
        <w:ind w:left="820" w:right="125"/>
      </w:pPr>
      <w:r>
        <w:rPr>
          <w:color w:val="265EAC"/>
        </w:rPr>
        <w:t>This measure includes building shell insulation only. Air sealing is a separate measure that is currently under development.</w:t>
      </w:r>
    </w:p>
    <w:p w14:paraId="609E586C" w14:textId="77777777" w:rsidR="00EF2C7E" w:rsidRDefault="00EF2C7E">
      <w:pPr>
        <w:pStyle w:val="BodyText"/>
        <w:spacing w:before="1"/>
      </w:pPr>
    </w:p>
    <w:p w14:paraId="35B31694" w14:textId="77777777" w:rsidR="00EF2C7E" w:rsidRDefault="00E92E8F">
      <w:pPr>
        <w:pStyle w:val="BodyText"/>
        <w:spacing w:before="1"/>
        <w:ind w:left="820"/>
      </w:pPr>
      <w:r>
        <w:rPr>
          <w:color w:val="FF0000"/>
        </w:rPr>
        <w:t>TAG: OK.</w:t>
      </w:r>
    </w:p>
    <w:p w14:paraId="32760275" w14:textId="77777777" w:rsidR="00EF2C7E" w:rsidRDefault="00EF2C7E">
      <w:pPr>
        <w:pStyle w:val="BodyText"/>
        <w:spacing w:before="1"/>
      </w:pPr>
    </w:p>
    <w:p w14:paraId="74492269" w14:textId="77777777" w:rsidR="00EF2C7E" w:rsidRDefault="00E92E8F">
      <w:pPr>
        <w:pStyle w:val="ListParagraph"/>
        <w:numPr>
          <w:ilvl w:val="0"/>
          <w:numId w:val="3"/>
        </w:numPr>
        <w:tabs>
          <w:tab w:val="left" w:pos="819"/>
          <w:tab w:val="left" w:pos="820"/>
        </w:tabs>
        <w:ind w:right="270" w:hanging="361"/>
        <w:rPr>
          <w:rFonts w:ascii="Symbol" w:hAnsi="Symbol"/>
          <w:sz w:val="24"/>
        </w:rPr>
      </w:pPr>
      <w:r>
        <w:rPr>
          <w:sz w:val="24"/>
        </w:rPr>
        <w:t>It appears that the data on heating loads cited by OP are not the most up-to-date data used by the Vermont Department of Public Service and other state agencies. These data should match what the state</w:t>
      </w:r>
      <w:r>
        <w:rPr>
          <w:spacing w:val="-3"/>
          <w:sz w:val="24"/>
        </w:rPr>
        <w:t xml:space="preserve"> </w:t>
      </w:r>
      <w:r>
        <w:rPr>
          <w:sz w:val="24"/>
        </w:rPr>
        <w:t>uses.</w:t>
      </w:r>
    </w:p>
    <w:p w14:paraId="34BA032B" w14:textId="77777777" w:rsidR="00EF2C7E" w:rsidRDefault="00EF2C7E">
      <w:pPr>
        <w:pStyle w:val="BodyText"/>
      </w:pPr>
    </w:p>
    <w:p w14:paraId="5F18472F" w14:textId="77777777" w:rsidR="00EF2C7E" w:rsidRDefault="00E92E8F">
      <w:pPr>
        <w:pStyle w:val="BodyText"/>
        <w:ind w:left="820" w:right="573"/>
      </w:pPr>
      <w:r>
        <w:rPr>
          <w:color w:val="265EAC"/>
        </w:rPr>
        <w:t>Please clarify the specific parameters you are referring to. The home’s heating load is not an input for this measure.</w:t>
      </w:r>
    </w:p>
    <w:p w14:paraId="416FC99D" w14:textId="77777777" w:rsidR="00EF2C7E" w:rsidRDefault="00EF2C7E">
      <w:pPr>
        <w:pStyle w:val="BodyText"/>
        <w:spacing w:before="1"/>
      </w:pPr>
    </w:p>
    <w:p w14:paraId="78966951" w14:textId="77777777" w:rsidR="00EF2C7E" w:rsidRDefault="00E92E8F">
      <w:pPr>
        <w:pStyle w:val="BodyText"/>
        <w:ind w:left="860" w:right="1380"/>
      </w:pPr>
      <w:r>
        <w:rPr>
          <w:color w:val="FF0000"/>
        </w:rPr>
        <w:t>TAG: We are interested in sources that you used for the relative shares (the percentages) of primary fuel use as an input to the “average fuel mix”.</w:t>
      </w:r>
    </w:p>
    <w:p w14:paraId="3D534E19" w14:textId="77777777" w:rsidR="00EF2C7E" w:rsidRDefault="00EF2C7E">
      <w:pPr>
        <w:pStyle w:val="BodyText"/>
        <w:spacing w:before="8"/>
        <w:rPr>
          <w:sz w:val="23"/>
        </w:rPr>
      </w:pPr>
    </w:p>
    <w:p w14:paraId="3FE7F0B8" w14:textId="77777777" w:rsidR="00EF2C7E" w:rsidRDefault="00E92E8F">
      <w:pPr>
        <w:pStyle w:val="BodyText"/>
        <w:ind w:left="860" w:right="293"/>
      </w:pPr>
      <w:r>
        <w:rPr>
          <w:color w:val="FF0000"/>
        </w:rPr>
        <w:t>We refer to Table 2 in your “early win” measure characterization document. Vermont Primary Heating Fuel Mix, Residential Buildings, has a large “unknown” natural gas fuel source value of 27%. Since VGS is a regulated utility the precise number of accounts and usage should be known or knowable. If the “unknown” value in the table represents known gas accounts with an unknown primary fuel (i.e., hybrid heating with gas and heat pump (s)), that makes sense, but we’d be grateful if you could clarify that.</w:t>
      </w:r>
    </w:p>
    <w:p w14:paraId="400AA24D" w14:textId="77777777" w:rsidR="00EF2C7E" w:rsidRDefault="00EF2C7E">
      <w:pPr>
        <w:pStyle w:val="BodyText"/>
        <w:spacing w:before="1"/>
      </w:pPr>
    </w:p>
    <w:p w14:paraId="73014D8B" w14:textId="77777777" w:rsidR="00EF2C7E" w:rsidRDefault="00E92E8F">
      <w:pPr>
        <w:pStyle w:val="BodyText"/>
        <w:ind w:left="860" w:right="275"/>
      </w:pPr>
      <w:r>
        <w:rPr>
          <w:color w:val="FF0000"/>
        </w:rPr>
        <w:t>The same table also appears to have a low value for the percentage of buildings heated with wood, showing 8% of single- and 1% of multi-family buildings using wood as the primary fuel. The latest Annual Energy Report (2024) (based on US Census - American Communities Survey Data, 2022) on page 79 suggests a higher wood fuel</w:t>
      </w:r>
    </w:p>
    <w:p w14:paraId="1408CB14" w14:textId="77777777" w:rsidR="00EF2C7E" w:rsidRDefault="00E92E8F">
      <w:pPr>
        <w:pStyle w:val="BodyText"/>
        <w:ind w:left="860" w:right="291"/>
      </w:pPr>
      <w:r>
        <w:rPr>
          <w:color w:val="FF0000"/>
        </w:rPr>
        <w:lastRenderedPageBreak/>
        <w:t xml:space="preserve">percentage. </w:t>
      </w:r>
      <w:r>
        <w:rPr>
          <w:color w:val="FF0000"/>
          <w:u w:val="single" w:color="FF0000"/>
        </w:rPr>
        <w:t>https://publicservice.vermont.gov/sites/dps/files/documents/2024%20A</w:t>
      </w:r>
      <w:r>
        <w:rPr>
          <w:color w:val="FF0000"/>
        </w:rPr>
        <w:t xml:space="preserve"> </w:t>
      </w:r>
      <w:r>
        <w:rPr>
          <w:color w:val="FF0000"/>
          <w:u w:val="single" w:color="FF0000"/>
        </w:rPr>
        <w:t>ER%20FINAL.pdf</w:t>
      </w:r>
      <w:r>
        <w:rPr>
          <w:color w:val="FF0000"/>
        </w:rPr>
        <w:t>.</w:t>
      </w:r>
    </w:p>
    <w:p w14:paraId="7487BB3E" w14:textId="77777777" w:rsidR="00EF2C7E" w:rsidRDefault="00EF2C7E">
      <w:pPr>
        <w:pStyle w:val="BodyText"/>
        <w:rPr>
          <w:sz w:val="20"/>
        </w:rPr>
      </w:pPr>
    </w:p>
    <w:p w14:paraId="16272101" w14:textId="6DE57D48" w:rsidR="00EF2C7E" w:rsidRPr="00855A94" w:rsidRDefault="00743D3E" w:rsidP="00713F27">
      <w:pPr>
        <w:pStyle w:val="BodyText"/>
        <w:spacing w:before="5"/>
        <w:ind w:left="810"/>
        <w:rPr>
          <w:color w:val="4F6228" w:themeColor="accent3" w:themeShade="80"/>
        </w:rPr>
      </w:pPr>
      <w:r w:rsidRPr="00855A94">
        <w:rPr>
          <w:color w:val="4F6228" w:themeColor="accent3" w:themeShade="80"/>
        </w:rPr>
        <w:t xml:space="preserve">The </w:t>
      </w:r>
      <w:r w:rsidR="00F30DAB" w:rsidRPr="00855A94">
        <w:rPr>
          <w:color w:val="4F6228" w:themeColor="accent3" w:themeShade="80"/>
        </w:rPr>
        <w:t>data source</w:t>
      </w:r>
      <w:r w:rsidR="005F0494" w:rsidRPr="00855A94">
        <w:rPr>
          <w:color w:val="4F6228" w:themeColor="accent3" w:themeShade="80"/>
        </w:rPr>
        <w:t>s</w:t>
      </w:r>
      <w:r w:rsidR="00F30DAB" w:rsidRPr="00855A94">
        <w:rPr>
          <w:color w:val="4F6228" w:themeColor="accent3" w:themeShade="80"/>
        </w:rPr>
        <w:t xml:space="preserve"> for </w:t>
      </w:r>
      <w:r w:rsidRPr="00855A94">
        <w:rPr>
          <w:color w:val="4F6228" w:themeColor="accent3" w:themeShade="80"/>
        </w:rPr>
        <w:t xml:space="preserve">Table 2 </w:t>
      </w:r>
      <w:r w:rsidR="005F0494" w:rsidRPr="00855A94">
        <w:rPr>
          <w:color w:val="4F6228" w:themeColor="accent3" w:themeShade="80"/>
        </w:rPr>
        <w:t>are</w:t>
      </w:r>
      <w:r w:rsidRPr="00855A94">
        <w:rPr>
          <w:color w:val="4F6228" w:themeColor="accent3" w:themeShade="80"/>
        </w:rPr>
        <w:t xml:space="preserve"> </w:t>
      </w:r>
      <w:r w:rsidR="00F30DAB" w:rsidRPr="00855A94">
        <w:rPr>
          <w:color w:val="4F6228" w:themeColor="accent3" w:themeShade="80"/>
        </w:rPr>
        <w:t>the 2020 Vermont single family and multifamily baseline studies available on the DPS website</w:t>
      </w:r>
      <w:r w:rsidR="00CD6261" w:rsidRPr="00855A94">
        <w:rPr>
          <w:rStyle w:val="FootnoteReference"/>
          <w:color w:val="4F6228" w:themeColor="accent3" w:themeShade="80"/>
        </w:rPr>
        <w:footnoteReference w:id="1"/>
      </w:r>
      <w:r w:rsidR="00884F13" w:rsidRPr="00855A94">
        <w:rPr>
          <w:color w:val="4F6228" w:themeColor="accent3" w:themeShade="80"/>
          <w:vertAlign w:val="superscript"/>
        </w:rPr>
        <w:t>,</w:t>
      </w:r>
      <w:r w:rsidR="00CD6261" w:rsidRPr="00855A94">
        <w:rPr>
          <w:rStyle w:val="FootnoteReference"/>
          <w:color w:val="4F6228" w:themeColor="accent3" w:themeShade="80"/>
        </w:rPr>
        <w:footnoteReference w:id="2"/>
      </w:r>
      <w:r w:rsidR="00CD6261" w:rsidRPr="00855A94">
        <w:rPr>
          <w:color w:val="4F6228" w:themeColor="accent3" w:themeShade="80"/>
        </w:rPr>
        <w:t>, published in January 2023.</w:t>
      </w:r>
      <w:r w:rsidRPr="00855A94">
        <w:rPr>
          <w:color w:val="4F6228" w:themeColor="accent3" w:themeShade="80"/>
        </w:rPr>
        <w:t xml:space="preserve"> The specific sources were:</w:t>
      </w:r>
    </w:p>
    <w:p w14:paraId="26AFE66A" w14:textId="0BF07386" w:rsidR="00743D3E" w:rsidRPr="00855A94" w:rsidRDefault="00743D3E" w:rsidP="00713F27">
      <w:pPr>
        <w:pStyle w:val="BodyText"/>
        <w:numPr>
          <w:ilvl w:val="0"/>
          <w:numId w:val="4"/>
        </w:numPr>
        <w:spacing w:before="5"/>
        <w:ind w:left="1620"/>
        <w:rPr>
          <w:color w:val="4F6228" w:themeColor="accent3" w:themeShade="80"/>
        </w:rPr>
      </w:pPr>
      <w:r w:rsidRPr="00855A94">
        <w:rPr>
          <w:color w:val="4F6228" w:themeColor="accent3" w:themeShade="80"/>
        </w:rPr>
        <w:t xml:space="preserve">Single Family </w:t>
      </w:r>
      <w:r w:rsidR="00AB3814" w:rsidRPr="00855A94">
        <w:rPr>
          <w:color w:val="4F6228" w:themeColor="accent3" w:themeShade="80"/>
        </w:rPr>
        <w:t xml:space="preserve">(SF) </w:t>
      </w:r>
      <w:r w:rsidRPr="00855A94">
        <w:rPr>
          <w:color w:val="4F6228" w:themeColor="accent3" w:themeShade="80"/>
        </w:rPr>
        <w:t>study: Tables 58 and 60</w:t>
      </w:r>
      <w:r w:rsidR="005B7680" w:rsidRPr="00855A94">
        <w:rPr>
          <w:color w:val="4F6228" w:themeColor="accent3" w:themeShade="80"/>
        </w:rPr>
        <w:t xml:space="preserve"> (statewide</w:t>
      </w:r>
      <w:r w:rsidR="00BA422B" w:rsidRPr="00855A94">
        <w:rPr>
          <w:color w:val="4F6228" w:themeColor="accent3" w:themeShade="80"/>
        </w:rPr>
        <w:t>, scaled and adjusted</w:t>
      </w:r>
      <w:r w:rsidR="005B7680" w:rsidRPr="00855A94">
        <w:rPr>
          <w:color w:val="4F6228" w:themeColor="accent3" w:themeShade="80"/>
        </w:rPr>
        <w:t xml:space="preserve"> results)</w:t>
      </w:r>
    </w:p>
    <w:p w14:paraId="1AC9C457" w14:textId="01FBC8D9" w:rsidR="00743D3E" w:rsidRPr="00855A94" w:rsidRDefault="00743D3E" w:rsidP="00713F27">
      <w:pPr>
        <w:pStyle w:val="BodyText"/>
        <w:numPr>
          <w:ilvl w:val="0"/>
          <w:numId w:val="4"/>
        </w:numPr>
        <w:spacing w:before="5"/>
        <w:ind w:left="1620"/>
        <w:rPr>
          <w:color w:val="4F6228" w:themeColor="accent3" w:themeShade="80"/>
        </w:rPr>
      </w:pPr>
      <w:r w:rsidRPr="00855A94">
        <w:rPr>
          <w:color w:val="4F6228" w:themeColor="accent3" w:themeShade="80"/>
        </w:rPr>
        <w:t xml:space="preserve">Multifamily </w:t>
      </w:r>
      <w:r w:rsidR="00AB3814" w:rsidRPr="00855A94">
        <w:rPr>
          <w:color w:val="4F6228" w:themeColor="accent3" w:themeShade="80"/>
        </w:rPr>
        <w:t xml:space="preserve">(MF) </w:t>
      </w:r>
      <w:r w:rsidRPr="00855A94">
        <w:rPr>
          <w:color w:val="4F6228" w:themeColor="accent3" w:themeShade="80"/>
        </w:rPr>
        <w:t>study: Tables 63 and 65</w:t>
      </w:r>
      <w:r w:rsidR="005B7680" w:rsidRPr="00855A94">
        <w:rPr>
          <w:color w:val="4F6228" w:themeColor="accent3" w:themeShade="80"/>
        </w:rPr>
        <w:t xml:space="preserve"> (statewide </w:t>
      </w:r>
      <w:r w:rsidR="00BA422B" w:rsidRPr="00855A94">
        <w:rPr>
          <w:color w:val="4F6228" w:themeColor="accent3" w:themeShade="80"/>
        </w:rPr>
        <w:t xml:space="preserve">scaled and adjusted </w:t>
      </w:r>
      <w:r w:rsidR="005B7680" w:rsidRPr="00855A94">
        <w:rPr>
          <w:color w:val="4F6228" w:themeColor="accent3" w:themeShade="80"/>
        </w:rPr>
        <w:t>results)</w:t>
      </w:r>
    </w:p>
    <w:p w14:paraId="5D7C430A" w14:textId="77777777" w:rsidR="00743D3E" w:rsidRPr="00855A94" w:rsidRDefault="00743D3E" w:rsidP="00713F27">
      <w:pPr>
        <w:pStyle w:val="BodyText"/>
        <w:spacing w:before="5"/>
        <w:ind w:left="810"/>
        <w:rPr>
          <w:color w:val="4F6228" w:themeColor="accent3" w:themeShade="80"/>
        </w:rPr>
      </w:pPr>
    </w:p>
    <w:p w14:paraId="7261771E" w14:textId="35ACDD46" w:rsidR="005F0494" w:rsidRPr="00855A94" w:rsidRDefault="005F0494" w:rsidP="00713F27">
      <w:pPr>
        <w:pStyle w:val="BodyText"/>
        <w:spacing w:before="5"/>
        <w:ind w:left="810"/>
        <w:rPr>
          <w:color w:val="4F6228" w:themeColor="accent3" w:themeShade="80"/>
        </w:rPr>
      </w:pPr>
      <w:r w:rsidRPr="00855A94">
        <w:rPr>
          <w:color w:val="4F6228" w:themeColor="accent3" w:themeShade="80"/>
        </w:rPr>
        <w:t>The underlying data for these tables was collected through site assessments and surveys of Vermont households.</w:t>
      </w:r>
      <w:r w:rsidR="00AB3814" w:rsidRPr="00855A94">
        <w:rPr>
          <w:color w:val="4F6228" w:themeColor="accent3" w:themeShade="80"/>
        </w:rPr>
        <w:t xml:space="preserve"> We chose to use these studies because they </w:t>
      </w:r>
      <w:r w:rsidR="0099624C" w:rsidRPr="00855A94">
        <w:rPr>
          <w:color w:val="4F6228" w:themeColor="accent3" w:themeShade="80"/>
        </w:rPr>
        <w:t xml:space="preserve">are relatively recent, specific to Vermont, </w:t>
      </w:r>
      <w:r w:rsidR="002E4FC9" w:rsidRPr="00855A94">
        <w:rPr>
          <w:color w:val="4F6228" w:themeColor="accent3" w:themeShade="80"/>
        </w:rPr>
        <w:t xml:space="preserve">and </w:t>
      </w:r>
      <w:r w:rsidR="00713F27" w:rsidRPr="00855A94">
        <w:rPr>
          <w:color w:val="4F6228" w:themeColor="accent3" w:themeShade="80"/>
        </w:rPr>
        <w:t xml:space="preserve">are reasonably </w:t>
      </w:r>
      <w:r w:rsidR="0099624C" w:rsidRPr="00855A94">
        <w:rPr>
          <w:color w:val="4F6228" w:themeColor="accent3" w:themeShade="80"/>
        </w:rPr>
        <w:t>robust</w:t>
      </w:r>
      <w:r w:rsidR="00713F27" w:rsidRPr="00855A94">
        <w:rPr>
          <w:color w:val="4F6228" w:themeColor="accent3" w:themeShade="80"/>
        </w:rPr>
        <w:t>.</w:t>
      </w:r>
    </w:p>
    <w:p w14:paraId="3B0A868F" w14:textId="77777777" w:rsidR="005F0494" w:rsidRPr="00855A94" w:rsidRDefault="005F0494" w:rsidP="00713F27">
      <w:pPr>
        <w:pStyle w:val="BodyText"/>
        <w:spacing w:before="5"/>
        <w:ind w:left="810"/>
        <w:rPr>
          <w:color w:val="4F6228" w:themeColor="accent3" w:themeShade="80"/>
        </w:rPr>
      </w:pPr>
    </w:p>
    <w:p w14:paraId="73D75B05" w14:textId="644D69A4" w:rsidR="00AB3814" w:rsidRPr="00855A94" w:rsidRDefault="00743D3E" w:rsidP="00713F27">
      <w:pPr>
        <w:pStyle w:val="BodyText"/>
        <w:spacing w:before="5"/>
        <w:ind w:left="810"/>
        <w:rPr>
          <w:color w:val="4F6228" w:themeColor="accent3" w:themeShade="80"/>
        </w:rPr>
      </w:pPr>
      <w:r w:rsidRPr="00855A94">
        <w:rPr>
          <w:color w:val="4F6228" w:themeColor="accent3" w:themeShade="80"/>
        </w:rPr>
        <w:t xml:space="preserve">The “unknown” building category </w:t>
      </w:r>
      <w:r w:rsidR="005F0494" w:rsidRPr="00855A94">
        <w:rPr>
          <w:color w:val="4F6228" w:themeColor="accent3" w:themeShade="80"/>
        </w:rPr>
        <w:t xml:space="preserve">in Table 2 </w:t>
      </w:r>
      <w:r w:rsidRPr="00855A94">
        <w:rPr>
          <w:color w:val="4F6228" w:themeColor="accent3" w:themeShade="80"/>
        </w:rPr>
        <w:t xml:space="preserve">is </w:t>
      </w:r>
      <w:r w:rsidR="005F0494" w:rsidRPr="00855A94">
        <w:rPr>
          <w:color w:val="4F6228" w:themeColor="accent3" w:themeShade="80"/>
        </w:rPr>
        <w:t xml:space="preserve">intended </w:t>
      </w:r>
      <w:r w:rsidRPr="00855A94">
        <w:rPr>
          <w:color w:val="4F6228" w:themeColor="accent3" w:themeShade="80"/>
        </w:rPr>
        <w:t xml:space="preserve">to support a program implementation scenario </w:t>
      </w:r>
      <w:r w:rsidR="00AB3814" w:rsidRPr="00855A94">
        <w:rPr>
          <w:color w:val="4F6228" w:themeColor="accent3" w:themeShade="80"/>
        </w:rPr>
        <w:t>in which all residential building types are eligible, and the bu</w:t>
      </w:r>
      <w:r w:rsidRPr="00855A94">
        <w:rPr>
          <w:color w:val="4F6228" w:themeColor="accent3" w:themeShade="80"/>
        </w:rPr>
        <w:t>ilding type for each insulation job is not collected or tracked.</w:t>
      </w:r>
      <w:r w:rsidR="00AB3814" w:rsidRPr="00855A94">
        <w:rPr>
          <w:color w:val="4F6228" w:themeColor="accent3" w:themeShade="80"/>
        </w:rPr>
        <w:t xml:space="preserve"> These percentages were calculated as the </w:t>
      </w:r>
      <w:r w:rsidR="00495397" w:rsidRPr="00855A94">
        <w:rPr>
          <w:color w:val="4F6228" w:themeColor="accent3" w:themeShade="80"/>
        </w:rPr>
        <w:t>weighted average</w:t>
      </w:r>
      <w:r w:rsidR="00AB3814" w:rsidRPr="00855A94">
        <w:rPr>
          <w:color w:val="4F6228" w:themeColor="accent3" w:themeShade="80"/>
        </w:rPr>
        <w:t xml:space="preserve"> of the SF and MF results, with weighting factors derived from the statewide population</w:t>
      </w:r>
      <w:r w:rsidR="0099624C" w:rsidRPr="00855A94">
        <w:rPr>
          <w:color w:val="4F6228" w:themeColor="accent3" w:themeShade="80"/>
        </w:rPr>
        <w:t xml:space="preserve"> sizes o</w:t>
      </w:r>
      <w:r w:rsidR="00AB3814" w:rsidRPr="00855A94">
        <w:rPr>
          <w:color w:val="4F6228" w:themeColor="accent3" w:themeShade="80"/>
        </w:rPr>
        <w:t>f SF and MF households</w:t>
      </w:r>
      <w:r w:rsidR="00AB3814" w:rsidRPr="00855A94">
        <w:rPr>
          <w:rStyle w:val="FootnoteReference"/>
          <w:color w:val="4F6228" w:themeColor="accent3" w:themeShade="80"/>
        </w:rPr>
        <w:footnoteReference w:id="3"/>
      </w:r>
      <w:r w:rsidR="00AB3814" w:rsidRPr="00855A94">
        <w:rPr>
          <w:color w:val="4F6228" w:themeColor="accent3" w:themeShade="80"/>
        </w:rPr>
        <w:t xml:space="preserve"> </w:t>
      </w:r>
      <w:r w:rsidR="00495397" w:rsidRPr="00855A94">
        <w:rPr>
          <w:color w:val="4F6228" w:themeColor="accent3" w:themeShade="80"/>
        </w:rPr>
        <w:t xml:space="preserve">stated </w:t>
      </w:r>
      <w:r w:rsidR="00AB3814" w:rsidRPr="00855A94">
        <w:rPr>
          <w:color w:val="4F6228" w:themeColor="accent3" w:themeShade="80"/>
        </w:rPr>
        <w:t>in these reports.</w:t>
      </w:r>
    </w:p>
    <w:p w14:paraId="50C924E0" w14:textId="77777777" w:rsidR="00AB3814" w:rsidRPr="00855A94" w:rsidRDefault="00AB3814" w:rsidP="00713F27">
      <w:pPr>
        <w:pStyle w:val="BodyText"/>
        <w:spacing w:before="5"/>
        <w:ind w:left="810"/>
        <w:rPr>
          <w:color w:val="4F6228" w:themeColor="accent3" w:themeShade="80"/>
        </w:rPr>
      </w:pPr>
    </w:p>
    <w:p w14:paraId="3278D949" w14:textId="4B1541D7" w:rsidR="00743D3E" w:rsidRPr="00855A94" w:rsidRDefault="00495397" w:rsidP="00713F27">
      <w:pPr>
        <w:pStyle w:val="BodyText"/>
        <w:spacing w:before="5"/>
        <w:ind w:left="810"/>
        <w:rPr>
          <w:color w:val="4F6228" w:themeColor="accent3" w:themeShade="80"/>
        </w:rPr>
      </w:pPr>
      <w:r w:rsidRPr="00855A94">
        <w:rPr>
          <w:color w:val="4F6228" w:themeColor="accent3" w:themeShade="80"/>
        </w:rPr>
        <w:t xml:space="preserve">While the number of customer accounts reported by VGS and other Vermont utilities could be used as a reasonableness check for the results in Table 2, this measure and other clean heat measures that involve baseline heating assumptions (such as heat pumps, for example) warrant the use of </w:t>
      </w:r>
      <w:r w:rsidRPr="00855A94">
        <w:rPr>
          <w:i/>
          <w:iCs/>
          <w:color w:val="4F6228" w:themeColor="accent3" w:themeShade="80"/>
        </w:rPr>
        <w:t xml:space="preserve">primary </w:t>
      </w:r>
      <w:r w:rsidRPr="00855A94">
        <w:rPr>
          <w:color w:val="4F6228" w:themeColor="accent3" w:themeShade="80"/>
        </w:rPr>
        <w:t>heating fuel data</w:t>
      </w:r>
      <w:r w:rsidR="00713F27" w:rsidRPr="00855A94">
        <w:rPr>
          <w:color w:val="4F6228" w:themeColor="accent3" w:themeShade="80"/>
        </w:rPr>
        <w:t>, which does not directly relate to customer accounts.</w:t>
      </w:r>
    </w:p>
    <w:p w14:paraId="51D40847" w14:textId="77777777" w:rsidR="00713F27" w:rsidRPr="00855A94" w:rsidRDefault="00713F27" w:rsidP="00713F27">
      <w:pPr>
        <w:pStyle w:val="BodyText"/>
        <w:spacing w:before="5"/>
        <w:ind w:left="810"/>
        <w:rPr>
          <w:color w:val="4F6228" w:themeColor="accent3" w:themeShade="80"/>
        </w:rPr>
      </w:pPr>
    </w:p>
    <w:p w14:paraId="346C3DAF" w14:textId="584C0F8D" w:rsidR="00713F27" w:rsidRPr="00855A94" w:rsidRDefault="00713F27" w:rsidP="00713F27">
      <w:pPr>
        <w:pStyle w:val="BodyText"/>
        <w:spacing w:before="5"/>
        <w:ind w:left="810"/>
        <w:rPr>
          <w:color w:val="4F6228" w:themeColor="accent3" w:themeShade="80"/>
        </w:rPr>
      </w:pPr>
      <w:r w:rsidRPr="00855A94">
        <w:rPr>
          <w:color w:val="4F6228" w:themeColor="accent3" w:themeShade="80"/>
        </w:rPr>
        <w:t xml:space="preserve">The 2020 Vermont baseline studies </w:t>
      </w:r>
      <w:r w:rsidR="00851DBA" w:rsidRPr="00855A94">
        <w:rPr>
          <w:color w:val="4F6228" w:themeColor="accent3" w:themeShade="80"/>
        </w:rPr>
        <w:t xml:space="preserve">appear to be relatively robust because the survey results were adjusted based on on-site verification; data from surveys alone may be less reliable due to </w:t>
      </w:r>
      <w:r w:rsidR="005B7680" w:rsidRPr="00855A94">
        <w:rPr>
          <w:color w:val="4F6228" w:themeColor="accent3" w:themeShade="80"/>
        </w:rPr>
        <w:t>self-</w:t>
      </w:r>
      <w:r w:rsidR="00851DBA" w:rsidRPr="00855A94">
        <w:rPr>
          <w:color w:val="4F6228" w:themeColor="accent3" w:themeShade="80"/>
        </w:rPr>
        <w:t xml:space="preserve">reporting errors. </w:t>
      </w:r>
      <w:r w:rsidR="005B7680" w:rsidRPr="00855A94">
        <w:rPr>
          <w:color w:val="4F6228" w:themeColor="accent3" w:themeShade="80"/>
        </w:rPr>
        <w:t xml:space="preserve">In addition, the 2020 baseline studies include other useful information such as primary heating system type (i.e., furnace, boiler, heat pump, etc.) and average efficiencies by system type. </w:t>
      </w:r>
      <w:r w:rsidR="00855A94">
        <w:rPr>
          <w:color w:val="4F6228" w:themeColor="accent3" w:themeShade="80"/>
        </w:rPr>
        <w:t>W</w:t>
      </w:r>
      <w:r w:rsidR="003E4AB7" w:rsidRPr="00855A94">
        <w:rPr>
          <w:color w:val="4F6228" w:themeColor="accent3" w:themeShade="80"/>
        </w:rPr>
        <w:t xml:space="preserve">e </w:t>
      </w:r>
      <w:r w:rsidR="00855A94">
        <w:rPr>
          <w:color w:val="4F6228" w:themeColor="accent3" w:themeShade="80"/>
        </w:rPr>
        <w:t xml:space="preserve">also </w:t>
      </w:r>
      <w:r w:rsidR="003E4AB7" w:rsidRPr="00855A94">
        <w:rPr>
          <w:color w:val="4F6228" w:themeColor="accent3" w:themeShade="80"/>
        </w:rPr>
        <w:t xml:space="preserve">leveraged these studies for other end uses such as cooling and water heating. We consider the use of </w:t>
      </w:r>
      <w:r w:rsidR="005B7680" w:rsidRPr="00855A94">
        <w:rPr>
          <w:color w:val="4F6228" w:themeColor="accent3" w:themeShade="80"/>
        </w:rPr>
        <w:t xml:space="preserve">consistent data sources across </w:t>
      </w:r>
      <w:r w:rsidR="003E4AB7" w:rsidRPr="00855A94">
        <w:rPr>
          <w:color w:val="4F6228" w:themeColor="accent3" w:themeShade="80"/>
        </w:rPr>
        <w:t xml:space="preserve">a </w:t>
      </w:r>
      <w:r w:rsidR="005B7680" w:rsidRPr="00855A94">
        <w:rPr>
          <w:color w:val="4F6228" w:themeColor="accent3" w:themeShade="80"/>
        </w:rPr>
        <w:t>TRM</w:t>
      </w:r>
      <w:r w:rsidR="00855A94">
        <w:rPr>
          <w:color w:val="4F6228" w:themeColor="accent3" w:themeShade="80"/>
        </w:rPr>
        <w:t>, where appropriate and reliable,</w:t>
      </w:r>
      <w:r w:rsidR="005B7680" w:rsidRPr="00855A94">
        <w:rPr>
          <w:color w:val="4F6228" w:themeColor="accent3" w:themeShade="80"/>
        </w:rPr>
        <w:t xml:space="preserve"> </w:t>
      </w:r>
      <w:r w:rsidR="003E4AB7" w:rsidRPr="00855A94">
        <w:rPr>
          <w:color w:val="4F6228" w:themeColor="accent3" w:themeShade="80"/>
        </w:rPr>
        <w:t xml:space="preserve">to be </w:t>
      </w:r>
      <w:r w:rsidR="00855A94">
        <w:rPr>
          <w:color w:val="4F6228" w:themeColor="accent3" w:themeShade="80"/>
        </w:rPr>
        <w:t xml:space="preserve">superior to </w:t>
      </w:r>
      <w:r w:rsidR="003E4AB7" w:rsidRPr="00855A94">
        <w:rPr>
          <w:color w:val="4F6228" w:themeColor="accent3" w:themeShade="80"/>
        </w:rPr>
        <w:t xml:space="preserve">combining data from </w:t>
      </w:r>
      <w:r w:rsidR="005B7680" w:rsidRPr="00855A94">
        <w:rPr>
          <w:color w:val="4F6228" w:themeColor="accent3" w:themeShade="80"/>
        </w:rPr>
        <w:t xml:space="preserve">disparate sources. </w:t>
      </w:r>
      <w:r w:rsidR="00BA422B" w:rsidRPr="00855A94">
        <w:rPr>
          <w:color w:val="4F6228" w:themeColor="accent3" w:themeShade="80"/>
        </w:rPr>
        <w:t xml:space="preserve">That said, </w:t>
      </w:r>
      <w:r w:rsidR="00851DBA" w:rsidRPr="00855A94">
        <w:rPr>
          <w:color w:val="4F6228" w:themeColor="accent3" w:themeShade="80"/>
        </w:rPr>
        <w:t xml:space="preserve">the </w:t>
      </w:r>
      <w:r w:rsidRPr="00855A94">
        <w:rPr>
          <w:color w:val="4F6228" w:themeColor="accent3" w:themeShade="80"/>
        </w:rPr>
        <w:t xml:space="preserve">US Census/American Communities Survey </w:t>
      </w:r>
      <w:r w:rsidR="00851DBA" w:rsidRPr="00855A94">
        <w:rPr>
          <w:color w:val="4F6228" w:themeColor="accent3" w:themeShade="80"/>
        </w:rPr>
        <w:t xml:space="preserve">is </w:t>
      </w:r>
      <w:r w:rsidR="00E92E8F">
        <w:rPr>
          <w:color w:val="4F6228" w:themeColor="accent3" w:themeShade="80"/>
        </w:rPr>
        <w:t xml:space="preserve">a trusted reference and </w:t>
      </w:r>
      <w:r w:rsidR="00BA422B" w:rsidRPr="00855A94">
        <w:rPr>
          <w:color w:val="4F6228" w:themeColor="accent3" w:themeShade="80"/>
        </w:rPr>
        <w:t>could be explored as an alternative source</w:t>
      </w:r>
      <w:r w:rsidR="00851DBA" w:rsidRPr="00855A94">
        <w:rPr>
          <w:color w:val="4F6228" w:themeColor="accent3" w:themeShade="80"/>
        </w:rPr>
        <w:t xml:space="preserve">. We </w:t>
      </w:r>
      <w:r w:rsidR="009334EC" w:rsidRPr="00855A94">
        <w:rPr>
          <w:color w:val="4F6228" w:themeColor="accent3" w:themeShade="80"/>
        </w:rPr>
        <w:t xml:space="preserve">welcome additional </w:t>
      </w:r>
      <w:r w:rsidR="00BA422B" w:rsidRPr="00855A94">
        <w:rPr>
          <w:color w:val="4F6228" w:themeColor="accent3" w:themeShade="80"/>
        </w:rPr>
        <w:t>comments or questions on this topic</w:t>
      </w:r>
      <w:r w:rsidR="00E05387">
        <w:rPr>
          <w:color w:val="4F6228" w:themeColor="accent3" w:themeShade="80"/>
        </w:rPr>
        <w:t xml:space="preserve"> following our draft measure characterizations deliverable</w:t>
      </w:r>
      <w:r w:rsidR="00BA422B" w:rsidRPr="00855A94">
        <w:rPr>
          <w:color w:val="4F6228" w:themeColor="accent3" w:themeShade="80"/>
        </w:rPr>
        <w:t>.</w:t>
      </w:r>
    </w:p>
    <w:p w14:paraId="317F65BE" w14:textId="77777777" w:rsidR="00F30DAB" w:rsidRDefault="00F30DAB" w:rsidP="00F30DAB">
      <w:pPr>
        <w:pStyle w:val="BodyText"/>
        <w:spacing w:before="5"/>
        <w:ind w:left="900"/>
        <w:rPr>
          <w:sz w:val="17"/>
        </w:rPr>
      </w:pPr>
    </w:p>
    <w:p w14:paraId="7629D0FE" w14:textId="77777777" w:rsidR="00EF2C7E" w:rsidRDefault="00E92E8F">
      <w:pPr>
        <w:pStyle w:val="ListParagraph"/>
        <w:numPr>
          <w:ilvl w:val="0"/>
          <w:numId w:val="3"/>
        </w:numPr>
        <w:tabs>
          <w:tab w:val="left" w:pos="819"/>
          <w:tab w:val="left" w:pos="820"/>
        </w:tabs>
        <w:spacing w:before="100"/>
        <w:ind w:right="514" w:hanging="361"/>
        <w:rPr>
          <w:rFonts w:ascii="Symbol" w:hAnsi="Symbol"/>
          <w:color w:val="265EAC"/>
          <w:sz w:val="24"/>
        </w:rPr>
      </w:pPr>
      <w:r>
        <w:rPr>
          <w:sz w:val="24"/>
        </w:rPr>
        <w:t>Would it be possible to cite actual source material for many of the assumptions and inputs? For instance, instead of citing Vermont’s efficiency and Tier III technical reference manuals, please cite the DOE and other sources on which those TRMs rely (“Remove the middleman” where</w:t>
      </w:r>
      <w:r>
        <w:rPr>
          <w:spacing w:val="-2"/>
          <w:sz w:val="24"/>
        </w:rPr>
        <w:t xml:space="preserve"> </w:t>
      </w:r>
      <w:r>
        <w:rPr>
          <w:sz w:val="24"/>
        </w:rPr>
        <w:t>possible).</w:t>
      </w:r>
    </w:p>
    <w:p w14:paraId="3D4391DD" w14:textId="77777777" w:rsidR="00EF2C7E" w:rsidRDefault="00EF2C7E">
      <w:pPr>
        <w:pStyle w:val="BodyText"/>
        <w:spacing w:before="10"/>
        <w:rPr>
          <w:sz w:val="23"/>
        </w:rPr>
      </w:pPr>
    </w:p>
    <w:p w14:paraId="643FB335" w14:textId="77777777" w:rsidR="00EF2C7E" w:rsidRDefault="00E92E8F">
      <w:pPr>
        <w:pStyle w:val="BodyText"/>
        <w:ind w:left="820" w:right="563"/>
      </w:pPr>
      <w:r>
        <w:rPr>
          <w:color w:val="265EAC"/>
        </w:rPr>
        <w:t xml:space="preserve">We considered this issue and chose to deliberately cite the Vermont TRMs </w:t>
      </w:r>
      <w:proofErr w:type="gramStart"/>
      <w:r>
        <w:rPr>
          <w:color w:val="265EAC"/>
        </w:rPr>
        <w:t>where</w:t>
      </w:r>
      <w:proofErr w:type="gramEnd"/>
      <w:r>
        <w:rPr>
          <w:color w:val="265EAC"/>
        </w:rPr>
        <w:t xml:space="preserve"> used to clearly indicate what parameters were adopted from these existing sources. Elsewhere, our aim was to reference the actual source material instead of the </w:t>
      </w:r>
      <w:r>
        <w:rPr>
          <w:color w:val="265EAC"/>
        </w:rPr>
        <w:lastRenderedPageBreak/>
        <w:t>secondary source. Based on the feedback we received during the 7/11/2024 TAG presentation, we will include both secondary and primary sources in our citations for now.</w:t>
      </w:r>
    </w:p>
    <w:p w14:paraId="7ACAF5FB" w14:textId="77777777" w:rsidR="00EF2C7E" w:rsidRDefault="00EF2C7E">
      <w:pPr>
        <w:pStyle w:val="BodyText"/>
        <w:spacing w:before="1"/>
      </w:pPr>
    </w:p>
    <w:p w14:paraId="574B9671" w14:textId="77777777" w:rsidR="00EF2C7E" w:rsidRDefault="00E92E8F">
      <w:pPr>
        <w:pStyle w:val="BodyText"/>
        <w:spacing w:before="1"/>
        <w:ind w:left="820"/>
      </w:pPr>
      <w:r>
        <w:rPr>
          <w:color w:val="FF0000"/>
        </w:rPr>
        <w:t>TAG: OK.</w:t>
      </w:r>
    </w:p>
    <w:p w14:paraId="09D75B6C" w14:textId="77777777" w:rsidR="00EF2C7E" w:rsidRDefault="00EF2C7E">
      <w:pPr>
        <w:pStyle w:val="BodyText"/>
        <w:spacing w:before="7"/>
        <w:rPr>
          <w:sz w:val="23"/>
        </w:rPr>
      </w:pPr>
    </w:p>
    <w:p w14:paraId="25DB0711" w14:textId="77777777" w:rsidR="00EF2C7E" w:rsidRDefault="00E92E8F">
      <w:pPr>
        <w:pStyle w:val="ListParagraph"/>
        <w:numPr>
          <w:ilvl w:val="0"/>
          <w:numId w:val="3"/>
        </w:numPr>
        <w:tabs>
          <w:tab w:val="left" w:pos="819"/>
          <w:tab w:val="left" w:pos="820"/>
        </w:tabs>
        <w:spacing w:before="1"/>
        <w:ind w:left="819" w:right="0"/>
        <w:rPr>
          <w:rFonts w:ascii="Symbol" w:hAnsi="Symbol"/>
          <w:color w:val="265EAC"/>
          <w:sz w:val="24"/>
        </w:rPr>
      </w:pPr>
      <w:r>
        <w:rPr>
          <w:sz w:val="24"/>
        </w:rPr>
        <w:t>Will Opinion Dynamics make the documents it references available to</w:t>
      </w:r>
      <w:r>
        <w:rPr>
          <w:spacing w:val="-15"/>
          <w:sz w:val="24"/>
        </w:rPr>
        <w:t xml:space="preserve"> </w:t>
      </w:r>
      <w:r>
        <w:rPr>
          <w:sz w:val="24"/>
        </w:rPr>
        <w:t>us?</w:t>
      </w:r>
    </w:p>
    <w:p w14:paraId="5EAADFEE" w14:textId="77777777" w:rsidR="00EF2C7E" w:rsidRDefault="00EF2C7E">
      <w:pPr>
        <w:pStyle w:val="BodyText"/>
        <w:spacing w:before="2"/>
        <w:rPr>
          <w:sz w:val="30"/>
        </w:rPr>
      </w:pPr>
    </w:p>
    <w:p w14:paraId="5C5D959C" w14:textId="77777777" w:rsidR="00EF2C7E" w:rsidRDefault="00E92E8F">
      <w:pPr>
        <w:pStyle w:val="BodyText"/>
        <w:spacing w:line="268" w:lineRule="auto"/>
        <w:ind w:left="820" w:right="323"/>
      </w:pPr>
      <w:r>
        <w:rPr>
          <w:color w:val="265EAC"/>
        </w:rPr>
        <w:t>Yes. The only exceptions might be where we have referenced parameters from the Vermont TRMs that are themselves references to documents we do not have access to.</w:t>
      </w:r>
    </w:p>
    <w:p w14:paraId="0D416DF2" w14:textId="77777777" w:rsidR="00EF2C7E" w:rsidRDefault="00EF2C7E">
      <w:pPr>
        <w:pStyle w:val="BodyText"/>
        <w:spacing w:before="9"/>
        <w:rPr>
          <w:sz w:val="26"/>
        </w:rPr>
      </w:pPr>
    </w:p>
    <w:p w14:paraId="2223A273" w14:textId="77777777" w:rsidR="00EF2C7E" w:rsidRDefault="00E92E8F">
      <w:pPr>
        <w:pStyle w:val="BodyText"/>
        <w:spacing w:before="1"/>
        <w:ind w:left="820"/>
        <w:rPr>
          <w:color w:val="FF0000"/>
        </w:rPr>
      </w:pPr>
      <w:r>
        <w:rPr>
          <w:color w:val="FF0000"/>
        </w:rPr>
        <w:t>TAG: OK. Please provide the documents as soon as possible.</w:t>
      </w:r>
    </w:p>
    <w:p w14:paraId="65339CFC" w14:textId="77777777" w:rsidR="00BA422B" w:rsidRDefault="00BA422B">
      <w:pPr>
        <w:pStyle w:val="BodyText"/>
        <w:spacing w:before="1"/>
        <w:ind w:left="820"/>
        <w:rPr>
          <w:color w:val="FF0000"/>
        </w:rPr>
      </w:pPr>
    </w:p>
    <w:p w14:paraId="4C1BDED5" w14:textId="31C259DB" w:rsidR="00EF2C7E" w:rsidRPr="00E05387" w:rsidRDefault="00E05387" w:rsidP="00BA422B">
      <w:pPr>
        <w:pStyle w:val="BodyText"/>
        <w:spacing w:before="1"/>
        <w:ind w:left="820"/>
        <w:rPr>
          <w:color w:val="4F6228" w:themeColor="accent3" w:themeShade="80"/>
        </w:rPr>
      </w:pPr>
      <w:proofErr w:type="gramStart"/>
      <w:r>
        <w:rPr>
          <w:color w:val="4F6228" w:themeColor="accent3" w:themeShade="80"/>
        </w:rPr>
        <w:t>In order to</w:t>
      </w:r>
      <w:proofErr w:type="gramEnd"/>
      <w:r>
        <w:rPr>
          <w:color w:val="4F6228" w:themeColor="accent3" w:themeShade="80"/>
        </w:rPr>
        <w:t xml:space="preserve"> stay on track with the project timeline, we need to </w:t>
      </w:r>
      <w:r w:rsidR="00BA422B" w:rsidRPr="00E05387">
        <w:rPr>
          <w:color w:val="4F6228" w:themeColor="accent3" w:themeShade="80"/>
        </w:rPr>
        <w:t>focus on completing the measure characterizations</w:t>
      </w:r>
      <w:r>
        <w:rPr>
          <w:color w:val="4F6228" w:themeColor="accent3" w:themeShade="80"/>
        </w:rPr>
        <w:t xml:space="preserve"> at this time</w:t>
      </w:r>
      <w:r w:rsidR="00BA422B" w:rsidRPr="00E05387">
        <w:rPr>
          <w:color w:val="4F6228" w:themeColor="accent3" w:themeShade="80"/>
        </w:rPr>
        <w:t xml:space="preserve">. </w:t>
      </w:r>
      <w:r>
        <w:rPr>
          <w:color w:val="4F6228" w:themeColor="accent3" w:themeShade="80"/>
        </w:rPr>
        <w:t>However, we will provide the reference documents at the time the full set of draft characterizations is filed.</w:t>
      </w:r>
      <w:r w:rsidR="00BA422B" w:rsidRPr="00E05387">
        <w:rPr>
          <w:color w:val="4F6228" w:themeColor="accent3" w:themeShade="80"/>
        </w:rPr>
        <w:t xml:space="preserve"> Please note that many documents are publicly available online.</w:t>
      </w:r>
    </w:p>
    <w:p w14:paraId="7B9FE6E6" w14:textId="77777777" w:rsidR="00BA422B" w:rsidRDefault="00BA422B" w:rsidP="00BA422B">
      <w:pPr>
        <w:pStyle w:val="BodyText"/>
        <w:spacing w:before="1"/>
        <w:ind w:left="820"/>
        <w:rPr>
          <w:sz w:val="26"/>
        </w:rPr>
      </w:pPr>
    </w:p>
    <w:p w14:paraId="64406F0A" w14:textId="77777777" w:rsidR="00EF2C7E" w:rsidRDefault="00E92E8F">
      <w:pPr>
        <w:pStyle w:val="ListParagraph"/>
        <w:numPr>
          <w:ilvl w:val="0"/>
          <w:numId w:val="3"/>
        </w:numPr>
        <w:tabs>
          <w:tab w:val="left" w:pos="819"/>
          <w:tab w:val="left" w:pos="820"/>
        </w:tabs>
        <w:ind w:right="432" w:hanging="361"/>
        <w:rPr>
          <w:rFonts w:ascii="Symbol" w:hAnsi="Symbol"/>
          <w:color w:val="265EAC"/>
          <w:sz w:val="24"/>
        </w:rPr>
      </w:pPr>
      <w:r>
        <w:rPr>
          <w:sz w:val="24"/>
        </w:rPr>
        <w:t>What sources of data will be used to perform weatherization calculations for CHS credits? Will these sources be linked in some way to the registration of actual projects? [This question may not be answerable at this</w:t>
      </w:r>
      <w:r>
        <w:rPr>
          <w:spacing w:val="-7"/>
          <w:sz w:val="24"/>
        </w:rPr>
        <w:t xml:space="preserve"> </w:t>
      </w:r>
      <w:r>
        <w:rPr>
          <w:sz w:val="24"/>
        </w:rPr>
        <w:t>time.]</w:t>
      </w:r>
    </w:p>
    <w:p w14:paraId="16F0AE6C" w14:textId="77777777" w:rsidR="00EF2C7E" w:rsidRDefault="00EF2C7E">
      <w:pPr>
        <w:pStyle w:val="BodyText"/>
      </w:pPr>
    </w:p>
    <w:p w14:paraId="2A602C45" w14:textId="77777777" w:rsidR="00EF2C7E" w:rsidRDefault="00E92E8F">
      <w:pPr>
        <w:pStyle w:val="BodyText"/>
        <w:ind w:left="820" w:right="548"/>
      </w:pPr>
      <w:r>
        <w:rPr>
          <w:color w:val="265EAC"/>
        </w:rPr>
        <w:t>The sources of data are indicated in each the characterization: data to be collected onsite is listed under “Program Data Tracking Requirements”; other data sources are referenced in the Endnotes. Questions regarding the project registry are outside our scope of work.</w:t>
      </w:r>
    </w:p>
    <w:p w14:paraId="468F0E09" w14:textId="77777777" w:rsidR="00EF2C7E" w:rsidRDefault="00EF2C7E">
      <w:pPr>
        <w:pStyle w:val="BodyText"/>
        <w:spacing w:before="4"/>
      </w:pPr>
    </w:p>
    <w:p w14:paraId="2FCBF877" w14:textId="3F07BE4E" w:rsidR="00E05387" w:rsidRPr="00E05387" w:rsidRDefault="00E92E8F" w:rsidP="00E05387">
      <w:pPr>
        <w:ind w:left="820" w:right="548"/>
        <w:rPr>
          <w:color w:val="FF0000"/>
          <w:sz w:val="24"/>
        </w:rPr>
      </w:pPr>
      <w:r>
        <w:rPr>
          <w:color w:val="FF0000"/>
          <w:sz w:val="24"/>
        </w:rPr>
        <w:t xml:space="preserve">TAG: OK. We are aware that </w:t>
      </w:r>
      <w:r>
        <w:rPr>
          <w:i/>
          <w:color w:val="FF0000"/>
          <w:sz w:val="24"/>
        </w:rPr>
        <w:t xml:space="preserve">Efficiency Vermont </w:t>
      </w:r>
      <w:r>
        <w:rPr>
          <w:color w:val="FF0000"/>
          <w:sz w:val="24"/>
        </w:rPr>
        <w:t>is working with OD to develop these data.</w:t>
      </w:r>
    </w:p>
    <w:p w14:paraId="002BAC15" w14:textId="77777777" w:rsidR="00EF2C7E" w:rsidRDefault="00EF2C7E">
      <w:pPr>
        <w:pStyle w:val="BodyText"/>
        <w:spacing w:before="8"/>
        <w:rPr>
          <w:sz w:val="23"/>
        </w:rPr>
      </w:pPr>
    </w:p>
    <w:p w14:paraId="267548AB" w14:textId="77777777" w:rsidR="00EF2C7E" w:rsidRDefault="00E92E8F">
      <w:pPr>
        <w:pStyle w:val="Heading1"/>
        <w:jc w:val="both"/>
      </w:pPr>
      <w:r>
        <w:t>Residential HVAC - Advanced Thermostats</w:t>
      </w:r>
    </w:p>
    <w:p w14:paraId="7C7193F2" w14:textId="77777777" w:rsidR="00EF2C7E" w:rsidRDefault="00E92E8F">
      <w:pPr>
        <w:pStyle w:val="ListParagraph"/>
        <w:numPr>
          <w:ilvl w:val="0"/>
          <w:numId w:val="3"/>
        </w:numPr>
        <w:tabs>
          <w:tab w:val="left" w:pos="821"/>
        </w:tabs>
        <w:spacing w:before="2"/>
        <w:ind w:right="287" w:hanging="361"/>
        <w:jc w:val="both"/>
        <w:rPr>
          <w:rFonts w:ascii="Symbol" w:hAnsi="Symbol"/>
          <w:color w:val="265EAC"/>
          <w:sz w:val="24"/>
        </w:rPr>
      </w:pPr>
      <w:r>
        <w:rPr>
          <w:sz w:val="24"/>
        </w:rPr>
        <w:t>Our understanding is that emissions reductions are calculated with respect to the hourly capacity of the heating unit rather than the annual heat load of the building. If that’s the case, then the thermal efficiency of the house is not accounted for. Please</w:t>
      </w:r>
      <w:r>
        <w:rPr>
          <w:spacing w:val="-17"/>
          <w:sz w:val="24"/>
        </w:rPr>
        <w:t xml:space="preserve"> </w:t>
      </w:r>
      <w:r>
        <w:rPr>
          <w:sz w:val="24"/>
        </w:rPr>
        <w:t>explain.</w:t>
      </w:r>
    </w:p>
    <w:p w14:paraId="2C45B29C" w14:textId="77777777" w:rsidR="00EF2C7E" w:rsidRDefault="00EF2C7E">
      <w:pPr>
        <w:pStyle w:val="BodyText"/>
        <w:spacing w:before="10"/>
      </w:pPr>
    </w:p>
    <w:p w14:paraId="08E1E2B7" w14:textId="77777777" w:rsidR="00EF2C7E" w:rsidRDefault="00E92E8F">
      <w:pPr>
        <w:pStyle w:val="BodyText"/>
        <w:ind w:left="820" w:right="287"/>
        <w:jc w:val="both"/>
      </w:pPr>
      <w:r>
        <w:rPr>
          <w:color w:val="265EAC"/>
        </w:rPr>
        <w:t>The algorithm is a standard form for this measure. It calculates the savings as</w:t>
      </w:r>
      <w:r>
        <w:rPr>
          <w:color w:val="265EAC"/>
          <w:spacing w:val="35"/>
        </w:rPr>
        <w:t xml:space="preserve"> </w:t>
      </w:r>
      <w:r>
        <w:rPr>
          <w:color w:val="265EAC"/>
        </w:rPr>
        <w:t>a percentage of the annual heating load, which is approximately equal to the capacity of the heating unit controlled by the thermostat (in Btu per hour) multiplied by the equivalent</w:t>
      </w:r>
      <w:r>
        <w:rPr>
          <w:color w:val="265EAC"/>
          <w:spacing w:val="-9"/>
        </w:rPr>
        <w:t xml:space="preserve"> </w:t>
      </w:r>
      <w:r>
        <w:rPr>
          <w:color w:val="265EAC"/>
        </w:rPr>
        <w:t>full</w:t>
      </w:r>
      <w:r>
        <w:rPr>
          <w:color w:val="265EAC"/>
          <w:spacing w:val="-8"/>
        </w:rPr>
        <w:t xml:space="preserve"> </w:t>
      </w:r>
      <w:r>
        <w:rPr>
          <w:color w:val="265EAC"/>
        </w:rPr>
        <w:t>load</w:t>
      </w:r>
      <w:r>
        <w:rPr>
          <w:color w:val="265EAC"/>
          <w:spacing w:val="-8"/>
        </w:rPr>
        <w:t xml:space="preserve"> </w:t>
      </w:r>
      <w:r>
        <w:rPr>
          <w:color w:val="265EAC"/>
        </w:rPr>
        <w:t>hours.</w:t>
      </w:r>
      <w:r>
        <w:rPr>
          <w:color w:val="265EAC"/>
          <w:spacing w:val="-8"/>
        </w:rPr>
        <w:t xml:space="preserve"> </w:t>
      </w:r>
      <w:r>
        <w:rPr>
          <w:color w:val="265EAC"/>
        </w:rPr>
        <w:t>The</w:t>
      </w:r>
      <w:r>
        <w:rPr>
          <w:color w:val="265EAC"/>
          <w:spacing w:val="-8"/>
        </w:rPr>
        <w:t xml:space="preserve"> </w:t>
      </w:r>
      <w:r>
        <w:rPr>
          <w:color w:val="265EAC"/>
        </w:rPr>
        <w:t>thermal</w:t>
      </w:r>
      <w:r>
        <w:rPr>
          <w:color w:val="265EAC"/>
          <w:spacing w:val="-8"/>
        </w:rPr>
        <w:t xml:space="preserve"> </w:t>
      </w:r>
      <w:r>
        <w:rPr>
          <w:color w:val="265EAC"/>
        </w:rPr>
        <w:t>efficiency</w:t>
      </w:r>
      <w:r>
        <w:rPr>
          <w:color w:val="265EAC"/>
          <w:spacing w:val="-7"/>
        </w:rPr>
        <w:t xml:space="preserve"> </w:t>
      </w:r>
      <w:r>
        <w:rPr>
          <w:color w:val="265EAC"/>
        </w:rPr>
        <w:t>of</w:t>
      </w:r>
      <w:r>
        <w:rPr>
          <w:color w:val="265EAC"/>
          <w:spacing w:val="-8"/>
        </w:rPr>
        <w:t xml:space="preserve"> </w:t>
      </w:r>
      <w:r>
        <w:rPr>
          <w:color w:val="265EAC"/>
        </w:rPr>
        <w:t>the</w:t>
      </w:r>
      <w:r>
        <w:rPr>
          <w:color w:val="265EAC"/>
          <w:spacing w:val="-8"/>
        </w:rPr>
        <w:t xml:space="preserve"> </w:t>
      </w:r>
      <w:r>
        <w:rPr>
          <w:color w:val="265EAC"/>
        </w:rPr>
        <w:t>house</w:t>
      </w:r>
      <w:r>
        <w:rPr>
          <w:color w:val="265EAC"/>
          <w:spacing w:val="-7"/>
        </w:rPr>
        <w:t xml:space="preserve"> </w:t>
      </w:r>
      <w:r>
        <w:rPr>
          <w:color w:val="265EAC"/>
        </w:rPr>
        <w:t>is</w:t>
      </w:r>
      <w:r>
        <w:rPr>
          <w:color w:val="265EAC"/>
          <w:spacing w:val="-8"/>
        </w:rPr>
        <w:t xml:space="preserve"> </w:t>
      </w:r>
      <w:r>
        <w:rPr>
          <w:color w:val="265EAC"/>
        </w:rPr>
        <w:t>reflected</w:t>
      </w:r>
      <w:r>
        <w:rPr>
          <w:color w:val="265EAC"/>
          <w:spacing w:val="-8"/>
        </w:rPr>
        <w:t xml:space="preserve"> </w:t>
      </w:r>
      <w:r>
        <w:rPr>
          <w:color w:val="265EAC"/>
        </w:rPr>
        <w:t>in</w:t>
      </w:r>
      <w:r>
        <w:rPr>
          <w:color w:val="265EAC"/>
          <w:spacing w:val="-8"/>
        </w:rPr>
        <w:t xml:space="preserve"> </w:t>
      </w:r>
      <w:r>
        <w:rPr>
          <w:color w:val="265EAC"/>
        </w:rPr>
        <w:t>the</w:t>
      </w:r>
      <w:r>
        <w:rPr>
          <w:color w:val="265EAC"/>
          <w:spacing w:val="-8"/>
        </w:rPr>
        <w:t xml:space="preserve"> </w:t>
      </w:r>
      <w:r>
        <w:rPr>
          <w:color w:val="265EAC"/>
        </w:rPr>
        <w:t>capacity of the heating system, which is assumed to be sized according to the design heating</w:t>
      </w:r>
      <w:r>
        <w:rPr>
          <w:color w:val="265EAC"/>
          <w:spacing w:val="-43"/>
        </w:rPr>
        <w:t xml:space="preserve"> </w:t>
      </w:r>
      <w:r>
        <w:rPr>
          <w:color w:val="265EAC"/>
        </w:rPr>
        <w:t>load of the house: all other things being equal, a poorly insulated house would need a larger heating system than the same house with better</w:t>
      </w:r>
      <w:r>
        <w:rPr>
          <w:color w:val="265EAC"/>
          <w:spacing w:val="-3"/>
        </w:rPr>
        <w:t xml:space="preserve"> </w:t>
      </w:r>
      <w:r>
        <w:rPr>
          <w:color w:val="265EAC"/>
        </w:rPr>
        <w:t>insulation.</w:t>
      </w:r>
    </w:p>
    <w:p w14:paraId="5CC34A5D" w14:textId="77777777" w:rsidR="00EF2C7E" w:rsidRDefault="00EF2C7E">
      <w:pPr>
        <w:pStyle w:val="BodyText"/>
        <w:spacing w:before="5"/>
      </w:pPr>
    </w:p>
    <w:p w14:paraId="4B08C15A" w14:textId="77777777" w:rsidR="00EF2C7E" w:rsidRDefault="00E92E8F">
      <w:pPr>
        <w:pStyle w:val="BodyText"/>
        <w:ind w:left="820"/>
        <w:jc w:val="both"/>
      </w:pPr>
      <w:r>
        <w:rPr>
          <w:color w:val="FF0000"/>
        </w:rPr>
        <w:t>TAG: OK.</w:t>
      </w:r>
    </w:p>
    <w:p w14:paraId="29EE854B" w14:textId="77777777" w:rsidR="00EF2C7E" w:rsidRDefault="00EF2C7E">
      <w:pPr>
        <w:pStyle w:val="BodyText"/>
        <w:spacing w:before="1"/>
      </w:pPr>
    </w:p>
    <w:p w14:paraId="3E7C61CB" w14:textId="77777777" w:rsidR="00EF2C7E" w:rsidRDefault="00E92E8F">
      <w:pPr>
        <w:pStyle w:val="ListParagraph"/>
        <w:numPr>
          <w:ilvl w:val="0"/>
          <w:numId w:val="3"/>
        </w:numPr>
        <w:tabs>
          <w:tab w:val="left" w:pos="820"/>
          <w:tab w:val="left" w:pos="821"/>
        </w:tabs>
        <w:ind w:right="0" w:hanging="361"/>
        <w:rPr>
          <w:rFonts w:ascii="Symbol" w:hAnsi="Symbol"/>
          <w:color w:val="265EAC"/>
          <w:sz w:val="24"/>
        </w:rPr>
      </w:pPr>
      <w:r>
        <w:rPr>
          <w:sz w:val="24"/>
        </w:rPr>
        <w:t>Please confirm that lifetime GHG emissions savings will be converted to and</w:t>
      </w:r>
      <w:r>
        <w:rPr>
          <w:spacing w:val="-7"/>
          <w:sz w:val="24"/>
        </w:rPr>
        <w:t xml:space="preserve"> </w:t>
      </w:r>
      <w:r>
        <w:rPr>
          <w:sz w:val="24"/>
        </w:rPr>
        <w:t>expressed</w:t>
      </w:r>
    </w:p>
    <w:p w14:paraId="44C07087" w14:textId="77777777" w:rsidR="00EF2C7E" w:rsidRDefault="00EF2C7E">
      <w:pPr>
        <w:rPr>
          <w:rFonts w:ascii="Symbol" w:hAnsi="Symbol"/>
          <w:sz w:val="24"/>
        </w:rPr>
        <w:sectPr w:rsidR="00EF2C7E">
          <w:footerReference w:type="default" r:id="rId8"/>
          <w:pgSz w:w="11900" w:h="16840"/>
          <w:pgMar w:top="1580" w:right="1300" w:bottom="960" w:left="1340" w:header="0" w:footer="698" w:gutter="0"/>
          <w:cols w:space="720"/>
        </w:sectPr>
      </w:pPr>
    </w:p>
    <w:p w14:paraId="25A9C555" w14:textId="77777777" w:rsidR="00EF2C7E" w:rsidRDefault="00E92E8F">
      <w:pPr>
        <w:pStyle w:val="BodyText"/>
        <w:spacing w:before="80"/>
        <w:ind w:left="820"/>
      </w:pPr>
      <w:r>
        <w:lastRenderedPageBreak/>
        <w:t>in annual credits. [This applies to all measures.]</w:t>
      </w:r>
    </w:p>
    <w:p w14:paraId="7D0422FE" w14:textId="77777777" w:rsidR="00EF2C7E" w:rsidRDefault="00EF2C7E">
      <w:pPr>
        <w:pStyle w:val="BodyText"/>
        <w:spacing w:before="2"/>
      </w:pPr>
    </w:p>
    <w:p w14:paraId="22BF77AA" w14:textId="77777777" w:rsidR="00EF2C7E" w:rsidRDefault="00E92E8F">
      <w:pPr>
        <w:pStyle w:val="BodyText"/>
        <w:ind w:left="820"/>
      </w:pPr>
      <w:r>
        <w:rPr>
          <w:color w:val="265EAC"/>
        </w:rPr>
        <w:t>We had not planned to express emissions savings in annual credits, but based on this feedback we are happy to do so once a CO2e to credit equivalency is established.</w:t>
      </w:r>
    </w:p>
    <w:p w14:paraId="265E854F" w14:textId="77777777" w:rsidR="00EF2C7E" w:rsidRDefault="00EF2C7E">
      <w:pPr>
        <w:pStyle w:val="BodyText"/>
        <w:spacing w:before="8"/>
        <w:rPr>
          <w:sz w:val="23"/>
        </w:rPr>
      </w:pPr>
    </w:p>
    <w:p w14:paraId="132CE54B" w14:textId="77777777" w:rsidR="00EF2C7E" w:rsidRDefault="00E92E8F">
      <w:pPr>
        <w:pStyle w:val="BodyText"/>
        <w:ind w:left="820"/>
      </w:pPr>
      <w:r>
        <w:rPr>
          <w:color w:val="FF0000"/>
        </w:rPr>
        <w:t>TAG: OK. (Refer to §8127(c) of Act 18.)</w:t>
      </w:r>
    </w:p>
    <w:p w14:paraId="3C652D90" w14:textId="77777777" w:rsidR="00EF2C7E" w:rsidRDefault="00EF2C7E">
      <w:pPr>
        <w:pStyle w:val="BodyText"/>
        <w:spacing w:before="1"/>
      </w:pPr>
    </w:p>
    <w:p w14:paraId="1091B373" w14:textId="77777777" w:rsidR="00EF2C7E" w:rsidRDefault="00E92E8F">
      <w:pPr>
        <w:pStyle w:val="ListParagraph"/>
        <w:numPr>
          <w:ilvl w:val="0"/>
          <w:numId w:val="3"/>
        </w:numPr>
        <w:tabs>
          <w:tab w:val="left" w:pos="821"/>
        </w:tabs>
        <w:spacing w:before="1"/>
        <w:ind w:right="299" w:hanging="361"/>
        <w:jc w:val="both"/>
        <w:rPr>
          <w:rFonts w:ascii="Symbol" w:hAnsi="Symbol"/>
          <w:sz w:val="24"/>
        </w:rPr>
      </w:pPr>
      <w:r>
        <w:rPr>
          <w:sz w:val="24"/>
        </w:rPr>
        <w:t>OD has included savings from the effects of advanced thermostats on cooling loads in its measure characterizations. This seems reasonable. However, the TAG is aware that</w:t>
      </w:r>
      <w:r>
        <w:rPr>
          <w:spacing w:val="-38"/>
          <w:sz w:val="24"/>
        </w:rPr>
        <w:t xml:space="preserve"> </w:t>
      </w:r>
      <w:r>
        <w:rPr>
          <w:sz w:val="24"/>
        </w:rPr>
        <w:t>a question has been raised by at least one party to the proceeding about whether the measure,</w:t>
      </w:r>
      <w:r>
        <w:rPr>
          <w:spacing w:val="-8"/>
          <w:sz w:val="24"/>
        </w:rPr>
        <w:t xml:space="preserve"> </w:t>
      </w:r>
      <w:r>
        <w:rPr>
          <w:sz w:val="24"/>
        </w:rPr>
        <w:t>as</w:t>
      </w:r>
      <w:r>
        <w:rPr>
          <w:spacing w:val="-7"/>
          <w:sz w:val="24"/>
        </w:rPr>
        <w:t xml:space="preserve"> </w:t>
      </w:r>
      <w:r>
        <w:rPr>
          <w:sz w:val="24"/>
        </w:rPr>
        <w:t>it</w:t>
      </w:r>
      <w:r>
        <w:rPr>
          <w:spacing w:val="-7"/>
          <w:sz w:val="24"/>
        </w:rPr>
        <w:t xml:space="preserve"> </w:t>
      </w:r>
      <w:r>
        <w:rPr>
          <w:sz w:val="24"/>
        </w:rPr>
        <w:t>relates</w:t>
      </w:r>
      <w:r>
        <w:rPr>
          <w:spacing w:val="-7"/>
          <w:sz w:val="24"/>
        </w:rPr>
        <w:t xml:space="preserve"> </w:t>
      </w:r>
      <w:r>
        <w:rPr>
          <w:sz w:val="24"/>
        </w:rPr>
        <w:t>to</w:t>
      </w:r>
      <w:r>
        <w:rPr>
          <w:spacing w:val="-7"/>
          <w:sz w:val="24"/>
        </w:rPr>
        <w:t xml:space="preserve"> </w:t>
      </w:r>
      <w:r>
        <w:rPr>
          <w:sz w:val="24"/>
        </w:rPr>
        <w:t>non-onsite</w:t>
      </w:r>
      <w:r>
        <w:rPr>
          <w:spacing w:val="-8"/>
          <w:sz w:val="24"/>
        </w:rPr>
        <w:t xml:space="preserve"> </w:t>
      </w:r>
      <w:r>
        <w:rPr>
          <w:sz w:val="24"/>
        </w:rPr>
        <w:t>fossil</w:t>
      </w:r>
      <w:r>
        <w:rPr>
          <w:spacing w:val="-7"/>
          <w:sz w:val="24"/>
        </w:rPr>
        <w:t xml:space="preserve"> </w:t>
      </w:r>
      <w:r>
        <w:rPr>
          <w:sz w:val="24"/>
        </w:rPr>
        <w:t>energy</w:t>
      </w:r>
      <w:r>
        <w:rPr>
          <w:spacing w:val="-7"/>
          <w:sz w:val="24"/>
        </w:rPr>
        <w:t xml:space="preserve"> </w:t>
      </w:r>
      <w:r>
        <w:rPr>
          <w:sz w:val="24"/>
        </w:rPr>
        <w:t>loads</w:t>
      </w:r>
      <w:r>
        <w:rPr>
          <w:spacing w:val="-7"/>
          <w:sz w:val="24"/>
        </w:rPr>
        <w:t xml:space="preserve"> </w:t>
      </w:r>
      <w:r>
        <w:rPr>
          <w:sz w:val="24"/>
        </w:rPr>
        <w:t>(i.e.,</w:t>
      </w:r>
      <w:r>
        <w:rPr>
          <w:spacing w:val="-7"/>
          <w:sz w:val="24"/>
        </w:rPr>
        <w:t xml:space="preserve"> </w:t>
      </w:r>
      <w:r>
        <w:rPr>
          <w:sz w:val="24"/>
        </w:rPr>
        <w:t>electricity),</w:t>
      </w:r>
      <w:r>
        <w:rPr>
          <w:spacing w:val="-8"/>
          <w:sz w:val="24"/>
        </w:rPr>
        <w:t xml:space="preserve"> </w:t>
      </w:r>
      <w:r>
        <w:rPr>
          <w:sz w:val="24"/>
        </w:rPr>
        <w:t>should</w:t>
      </w:r>
      <w:r>
        <w:rPr>
          <w:spacing w:val="-7"/>
          <w:sz w:val="24"/>
        </w:rPr>
        <w:t xml:space="preserve"> </w:t>
      </w:r>
      <w:r>
        <w:rPr>
          <w:sz w:val="24"/>
        </w:rPr>
        <w:t>be</w:t>
      </w:r>
      <w:r>
        <w:rPr>
          <w:spacing w:val="-7"/>
          <w:sz w:val="24"/>
        </w:rPr>
        <w:t xml:space="preserve"> </w:t>
      </w:r>
      <w:r>
        <w:rPr>
          <w:sz w:val="24"/>
        </w:rPr>
        <w:t>eligible. What clarification from the PUC has OD received on this</w:t>
      </w:r>
      <w:r>
        <w:rPr>
          <w:spacing w:val="-8"/>
          <w:sz w:val="24"/>
        </w:rPr>
        <w:t xml:space="preserve"> </w:t>
      </w:r>
      <w:r>
        <w:rPr>
          <w:sz w:val="24"/>
        </w:rPr>
        <w:t>point?</w:t>
      </w:r>
    </w:p>
    <w:p w14:paraId="409DF6DA" w14:textId="77777777" w:rsidR="00EF2C7E" w:rsidRDefault="00EF2C7E">
      <w:pPr>
        <w:pStyle w:val="BodyText"/>
        <w:spacing w:before="2"/>
      </w:pPr>
    </w:p>
    <w:p w14:paraId="0713EC41" w14:textId="77777777" w:rsidR="00EF2C7E" w:rsidRDefault="00E92E8F">
      <w:pPr>
        <w:pStyle w:val="BodyText"/>
        <w:ind w:left="820" w:right="299"/>
        <w:jc w:val="both"/>
      </w:pPr>
      <w:r>
        <w:rPr>
          <w:color w:val="265EAC"/>
        </w:rPr>
        <w:t>We</w:t>
      </w:r>
      <w:r>
        <w:rPr>
          <w:color w:val="265EAC"/>
          <w:spacing w:val="-11"/>
        </w:rPr>
        <w:t xml:space="preserve"> </w:t>
      </w:r>
      <w:r>
        <w:rPr>
          <w:color w:val="265EAC"/>
        </w:rPr>
        <w:t>discussed</w:t>
      </w:r>
      <w:r>
        <w:rPr>
          <w:color w:val="265EAC"/>
          <w:spacing w:val="-11"/>
        </w:rPr>
        <w:t xml:space="preserve"> </w:t>
      </w:r>
      <w:r>
        <w:rPr>
          <w:color w:val="265EAC"/>
        </w:rPr>
        <w:t>this</w:t>
      </w:r>
      <w:r>
        <w:rPr>
          <w:color w:val="265EAC"/>
          <w:spacing w:val="-11"/>
        </w:rPr>
        <w:t xml:space="preserve"> </w:t>
      </w:r>
      <w:r>
        <w:rPr>
          <w:color w:val="265EAC"/>
        </w:rPr>
        <w:t>issue</w:t>
      </w:r>
      <w:r>
        <w:rPr>
          <w:color w:val="265EAC"/>
          <w:spacing w:val="-11"/>
        </w:rPr>
        <w:t xml:space="preserve"> </w:t>
      </w:r>
      <w:r>
        <w:rPr>
          <w:color w:val="265EAC"/>
        </w:rPr>
        <w:t>in</w:t>
      </w:r>
      <w:r>
        <w:rPr>
          <w:color w:val="265EAC"/>
          <w:spacing w:val="-11"/>
        </w:rPr>
        <w:t xml:space="preserve"> </w:t>
      </w:r>
      <w:r>
        <w:rPr>
          <w:color w:val="265EAC"/>
        </w:rPr>
        <w:t>early</w:t>
      </w:r>
      <w:r>
        <w:rPr>
          <w:color w:val="265EAC"/>
          <w:spacing w:val="-10"/>
        </w:rPr>
        <w:t xml:space="preserve"> </w:t>
      </w:r>
      <w:r>
        <w:rPr>
          <w:color w:val="265EAC"/>
        </w:rPr>
        <w:t>meetings</w:t>
      </w:r>
      <w:r>
        <w:rPr>
          <w:color w:val="265EAC"/>
          <w:spacing w:val="-11"/>
        </w:rPr>
        <w:t xml:space="preserve"> </w:t>
      </w:r>
      <w:r>
        <w:rPr>
          <w:color w:val="265EAC"/>
        </w:rPr>
        <w:t>with</w:t>
      </w:r>
      <w:r>
        <w:rPr>
          <w:color w:val="265EAC"/>
          <w:spacing w:val="-11"/>
        </w:rPr>
        <w:t xml:space="preserve"> </w:t>
      </w:r>
      <w:r>
        <w:rPr>
          <w:color w:val="265EAC"/>
        </w:rPr>
        <w:t>the</w:t>
      </w:r>
      <w:r>
        <w:rPr>
          <w:color w:val="265EAC"/>
          <w:spacing w:val="-11"/>
        </w:rPr>
        <w:t xml:space="preserve"> </w:t>
      </w:r>
      <w:r>
        <w:rPr>
          <w:color w:val="265EAC"/>
        </w:rPr>
        <w:t>PUC.</w:t>
      </w:r>
      <w:r>
        <w:rPr>
          <w:color w:val="265EAC"/>
          <w:spacing w:val="-11"/>
        </w:rPr>
        <w:t xml:space="preserve"> </w:t>
      </w:r>
      <w:r>
        <w:rPr>
          <w:color w:val="265EAC"/>
        </w:rPr>
        <w:t>Staff</w:t>
      </w:r>
      <w:r>
        <w:rPr>
          <w:color w:val="265EAC"/>
          <w:spacing w:val="-11"/>
        </w:rPr>
        <w:t xml:space="preserve"> </w:t>
      </w:r>
      <w:r>
        <w:rPr>
          <w:color w:val="265EAC"/>
        </w:rPr>
        <w:t>were</w:t>
      </w:r>
      <w:r>
        <w:rPr>
          <w:color w:val="265EAC"/>
          <w:spacing w:val="-10"/>
        </w:rPr>
        <w:t xml:space="preserve"> </w:t>
      </w:r>
      <w:r>
        <w:rPr>
          <w:color w:val="265EAC"/>
        </w:rPr>
        <w:t>interested</w:t>
      </w:r>
      <w:r>
        <w:rPr>
          <w:color w:val="265EAC"/>
          <w:spacing w:val="-11"/>
        </w:rPr>
        <w:t xml:space="preserve"> </w:t>
      </w:r>
      <w:r>
        <w:rPr>
          <w:color w:val="265EAC"/>
        </w:rPr>
        <w:t>in</w:t>
      </w:r>
      <w:r>
        <w:rPr>
          <w:color w:val="265EAC"/>
          <w:spacing w:val="-11"/>
        </w:rPr>
        <w:t xml:space="preserve"> </w:t>
      </w:r>
      <w:r>
        <w:rPr>
          <w:color w:val="265EAC"/>
        </w:rPr>
        <w:t>including cooling</w:t>
      </w:r>
      <w:r>
        <w:rPr>
          <w:color w:val="265EAC"/>
          <w:spacing w:val="-13"/>
        </w:rPr>
        <w:t xml:space="preserve"> </w:t>
      </w:r>
      <w:r>
        <w:rPr>
          <w:color w:val="265EAC"/>
        </w:rPr>
        <w:t>impacts</w:t>
      </w:r>
      <w:r>
        <w:rPr>
          <w:color w:val="265EAC"/>
          <w:spacing w:val="-12"/>
        </w:rPr>
        <w:t xml:space="preserve"> </w:t>
      </w:r>
      <w:r>
        <w:rPr>
          <w:color w:val="265EAC"/>
        </w:rPr>
        <w:t>but</w:t>
      </w:r>
      <w:r>
        <w:rPr>
          <w:color w:val="265EAC"/>
          <w:spacing w:val="-13"/>
        </w:rPr>
        <w:t xml:space="preserve"> </w:t>
      </w:r>
      <w:r>
        <w:rPr>
          <w:color w:val="265EAC"/>
        </w:rPr>
        <w:t>did</w:t>
      </w:r>
      <w:r>
        <w:rPr>
          <w:color w:val="265EAC"/>
          <w:spacing w:val="-12"/>
        </w:rPr>
        <w:t xml:space="preserve"> </w:t>
      </w:r>
      <w:r>
        <w:rPr>
          <w:color w:val="265EAC"/>
        </w:rPr>
        <w:t>not</w:t>
      </w:r>
      <w:r>
        <w:rPr>
          <w:color w:val="265EAC"/>
          <w:spacing w:val="-13"/>
        </w:rPr>
        <w:t xml:space="preserve"> </w:t>
      </w:r>
      <w:r>
        <w:rPr>
          <w:color w:val="265EAC"/>
        </w:rPr>
        <w:t>take</w:t>
      </w:r>
      <w:r>
        <w:rPr>
          <w:color w:val="265EAC"/>
          <w:spacing w:val="-12"/>
        </w:rPr>
        <w:t xml:space="preserve"> </w:t>
      </w:r>
      <w:r>
        <w:rPr>
          <w:color w:val="265EAC"/>
        </w:rPr>
        <w:t>a</w:t>
      </w:r>
      <w:r>
        <w:rPr>
          <w:color w:val="265EAC"/>
          <w:spacing w:val="-13"/>
        </w:rPr>
        <w:t xml:space="preserve"> </w:t>
      </w:r>
      <w:r>
        <w:rPr>
          <w:color w:val="265EAC"/>
        </w:rPr>
        <w:t>position</w:t>
      </w:r>
      <w:r>
        <w:rPr>
          <w:color w:val="265EAC"/>
          <w:spacing w:val="-12"/>
        </w:rPr>
        <w:t xml:space="preserve"> </w:t>
      </w:r>
      <w:r>
        <w:rPr>
          <w:color w:val="265EAC"/>
        </w:rPr>
        <w:t>on</w:t>
      </w:r>
      <w:r>
        <w:rPr>
          <w:color w:val="265EAC"/>
          <w:spacing w:val="-13"/>
        </w:rPr>
        <w:t xml:space="preserve"> </w:t>
      </w:r>
      <w:r>
        <w:rPr>
          <w:color w:val="265EAC"/>
        </w:rPr>
        <w:t>whether</w:t>
      </w:r>
      <w:r>
        <w:rPr>
          <w:color w:val="265EAC"/>
          <w:spacing w:val="-12"/>
        </w:rPr>
        <w:t xml:space="preserve"> </w:t>
      </w:r>
      <w:r>
        <w:rPr>
          <w:color w:val="265EAC"/>
        </w:rPr>
        <w:t>cooling</w:t>
      </w:r>
      <w:r>
        <w:rPr>
          <w:color w:val="265EAC"/>
          <w:spacing w:val="-13"/>
        </w:rPr>
        <w:t xml:space="preserve"> </w:t>
      </w:r>
      <w:r>
        <w:rPr>
          <w:color w:val="265EAC"/>
        </w:rPr>
        <w:t>impacts</w:t>
      </w:r>
      <w:r>
        <w:rPr>
          <w:color w:val="265EAC"/>
          <w:spacing w:val="-12"/>
        </w:rPr>
        <w:t xml:space="preserve"> </w:t>
      </w:r>
      <w:r>
        <w:rPr>
          <w:color w:val="265EAC"/>
        </w:rPr>
        <w:t>should</w:t>
      </w:r>
      <w:r>
        <w:rPr>
          <w:color w:val="265EAC"/>
          <w:spacing w:val="-13"/>
        </w:rPr>
        <w:t xml:space="preserve"> </w:t>
      </w:r>
      <w:r>
        <w:rPr>
          <w:color w:val="265EAC"/>
        </w:rPr>
        <w:t>be</w:t>
      </w:r>
      <w:r>
        <w:rPr>
          <w:color w:val="265EAC"/>
          <w:spacing w:val="-12"/>
        </w:rPr>
        <w:t xml:space="preserve"> </w:t>
      </w:r>
      <w:r>
        <w:rPr>
          <w:color w:val="265EAC"/>
        </w:rPr>
        <w:t>eligible for clean heat credits. We suggested that expressing cooling impacts could be beneficial for evaluating the cost-effectiveness of clean heat programs, even if cooling impacts themselves do not qualify for clean heat</w:t>
      </w:r>
      <w:r>
        <w:rPr>
          <w:color w:val="265EAC"/>
          <w:spacing w:val="-2"/>
        </w:rPr>
        <w:t xml:space="preserve"> </w:t>
      </w:r>
      <w:r>
        <w:rPr>
          <w:color w:val="265EAC"/>
        </w:rPr>
        <w:t>credits.</w:t>
      </w:r>
    </w:p>
    <w:p w14:paraId="225B3209" w14:textId="77777777" w:rsidR="00EF2C7E" w:rsidRDefault="00EF2C7E">
      <w:pPr>
        <w:pStyle w:val="BodyText"/>
        <w:spacing w:before="9"/>
        <w:rPr>
          <w:sz w:val="23"/>
        </w:rPr>
      </w:pPr>
    </w:p>
    <w:p w14:paraId="1F9B547E" w14:textId="77777777" w:rsidR="00EF2C7E" w:rsidRDefault="00E92E8F">
      <w:pPr>
        <w:pStyle w:val="BodyText"/>
        <w:ind w:left="820" w:right="299"/>
        <w:jc w:val="both"/>
      </w:pPr>
      <w:r>
        <w:rPr>
          <w:color w:val="265EAC"/>
        </w:rPr>
        <w:t>This same issue applies to other non-thermal impacts associated with some measures. For example, the Building Shell Insulation measure includes fan and pump electrical energy savings; installing insulation decreases the heating load of the house, which reduces furnace fan or boiler pump runtime. Our current approach is to express all significant</w:t>
      </w:r>
      <w:r>
        <w:rPr>
          <w:color w:val="265EAC"/>
          <w:spacing w:val="-13"/>
        </w:rPr>
        <w:t xml:space="preserve"> </w:t>
      </w:r>
      <w:r>
        <w:rPr>
          <w:color w:val="265EAC"/>
        </w:rPr>
        <w:t>energy</w:t>
      </w:r>
      <w:r>
        <w:rPr>
          <w:color w:val="265EAC"/>
          <w:spacing w:val="-13"/>
        </w:rPr>
        <w:t xml:space="preserve"> </w:t>
      </w:r>
      <w:r>
        <w:rPr>
          <w:color w:val="265EAC"/>
        </w:rPr>
        <w:t>impacts</w:t>
      </w:r>
      <w:r>
        <w:rPr>
          <w:color w:val="265EAC"/>
          <w:spacing w:val="-13"/>
        </w:rPr>
        <w:t xml:space="preserve"> </w:t>
      </w:r>
      <w:r>
        <w:rPr>
          <w:color w:val="265EAC"/>
        </w:rPr>
        <w:t>of</w:t>
      </w:r>
      <w:r>
        <w:rPr>
          <w:color w:val="265EAC"/>
          <w:spacing w:val="-13"/>
        </w:rPr>
        <w:t xml:space="preserve"> </w:t>
      </w:r>
      <w:r>
        <w:rPr>
          <w:color w:val="265EAC"/>
        </w:rPr>
        <w:t>each</w:t>
      </w:r>
      <w:r>
        <w:rPr>
          <w:color w:val="265EAC"/>
          <w:spacing w:val="-12"/>
        </w:rPr>
        <w:t xml:space="preserve"> </w:t>
      </w:r>
      <w:r>
        <w:rPr>
          <w:color w:val="265EAC"/>
        </w:rPr>
        <w:t>measure.</w:t>
      </w:r>
      <w:r>
        <w:rPr>
          <w:color w:val="265EAC"/>
          <w:spacing w:val="-13"/>
        </w:rPr>
        <w:t xml:space="preserve"> </w:t>
      </w:r>
      <w:r>
        <w:rPr>
          <w:color w:val="265EAC"/>
        </w:rPr>
        <w:t>We</w:t>
      </w:r>
      <w:r>
        <w:rPr>
          <w:color w:val="265EAC"/>
          <w:spacing w:val="-13"/>
        </w:rPr>
        <w:t xml:space="preserve"> </w:t>
      </w:r>
      <w:r>
        <w:rPr>
          <w:color w:val="265EAC"/>
        </w:rPr>
        <w:t>could</w:t>
      </w:r>
      <w:r>
        <w:rPr>
          <w:color w:val="265EAC"/>
          <w:spacing w:val="-13"/>
        </w:rPr>
        <w:t xml:space="preserve"> </w:t>
      </w:r>
      <w:r>
        <w:rPr>
          <w:color w:val="265EAC"/>
        </w:rPr>
        <w:t>modify</w:t>
      </w:r>
      <w:r>
        <w:rPr>
          <w:color w:val="265EAC"/>
          <w:spacing w:val="-13"/>
        </w:rPr>
        <w:t xml:space="preserve"> </w:t>
      </w:r>
      <w:r>
        <w:rPr>
          <w:color w:val="265EAC"/>
        </w:rPr>
        <w:t>the</w:t>
      </w:r>
      <w:r>
        <w:rPr>
          <w:color w:val="265EAC"/>
          <w:spacing w:val="-12"/>
        </w:rPr>
        <w:t xml:space="preserve"> </w:t>
      </w:r>
      <w:r>
        <w:rPr>
          <w:color w:val="265EAC"/>
        </w:rPr>
        <w:t>characterization</w:t>
      </w:r>
      <w:r>
        <w:rPr>
          <w:color w:val="265EAC"/>
          <w:spacing w:val="-13"/>
        </w:rPr>
        <w:t xml:space="preserve"> </w:t>
      </w:r>
      <w:r>
        <w:rPr>
          <w:color w:val="265EAC"/>
        </w:rPr>
        <w:t>format to indicate which energy impacts qualify for clean heat credits and which are ancillary impacts if</w:t>
      </w:r>
      <w:r>
        <w:rPr>
          <w:color w:val="265EAC"/>
          <w:spacing w:val="-3"/>
        </w:rPr>
        <w:t xml:space="preserve"> </w:t>
      </w:r>
      <w:r>
        <w:rPr>
          <w:color w:val="265EAC"/>
        </w:rPr>
        <w:t>desired.</w:t>
      </w:r>
    </w:p>
    <w:p w14:paraId="25053BB8" w14:textId="77777777" w:rsidR="00EF2C7E" w:rsidRDefault="00EF2C7E">
      <w:pPr>
        <w:pStyle w:val="BodyText"/>
      </w:pPr>
    </w:p>
    <w:p w14:paraId="54D0C26E" w14:textId="77777777" w:rsidR="00EF2C7E" w:rsidRDefault="00E92E8F">
      <w:pPr>
        <w:pStyle w:val="BodyText"/>
        <w:ind w:left="820"/>
        <w:jc w:val="both"/>
      </w:pPr>
      <w:r>
        <w:rPr>
          <w:color w:val="FF0000"/>
        </w:rPr>
        <w:t>TAG: OK.</w:t>
      </w:r>
    </w:p>
    <w:p w14:paraId="67BFE5D4" w14:textId="77777777" w:rsidR="00EF2C7E" w:rsidRDefault="00EF2C7E">
      <w:pPr>
        <w:pStyle w:val="BodyText"/>
        <w:spacing w:before="1"/>
      </w:pPr>
    </w:p>
    <w:p w14:paraId="47E0D71F" w14:textId="77777777" w:rsidR="00EF2C7E" w:rsidRDefault="00E92E8F">
      <w:pPr>
        <w:pStyle w:val="ListParagraph"/>
        <w:numPr>
          <w:ilvl w:val="0"/>
          <w:numId w:val="3"/>
        </w:numPr>
        <w:tabs>
          <w:tab w:val="left" w:pos="819"/>
          <w:tab w:val="left" w:pos="820"/>
        </w:tabs>
        <w:ind w:right="170" w:hanging="361"/>
        <w:rPr>
          <w:rFonts w:ascii="Symbol" w:hAnsi="Symbol"/>
          <w:color w:val="265EAC"/>
          <w:sz w:val="24"/>
        </w:rPr>
      </w:pPr>
      <w:r>
        <w:rPr>
          <w:sz w:val="24"/>
        </w:rPr>
        <w:t>Are savings from the effects of advanced thermostats on fossil systems calculated differently from their effects on heat pumps? [Manufacturers recommend that heat pumps be maintained on a steady setting, rather than being cycled during night times and when houses are empty, to maintain unit efficiency of unit.] Are the energy savings assumed to be the same (though the emissions savings will clearly be</w:t>
      </w:r>
      <w:r>
        <w:rPr>
          <w:spacing w:val="-20"/>
          <w:sz w:val="24"/>
        </w:rPr>
        <w:t xml:space="preserve"> </w:t>
      </w:r>
      <w:r>
        <w:rPr>
          <w:sz w:val="24"/>
        </w:rPr>
        <w:t>different</w:t>
      </w:r>
      <w:r>
        <w:rPr>
          <w:color w:val="265EAC"/>
          <w:sz w:val="24"/>
        </w:rPr>
        <w:t>)</w:t>
      </w:r>
      <w:r>
        <w:rPr>
          <w:color w:val="4A4D56"/>
          <w:sz w:val="24"/>
        </w:rPr>
        <w:t>?</w:t>
      </w:r>
    </w:p>
    <w:p w14:paraId="17A9A9B0" w14:textId="77777777" w:rsidR="00EF2C7E" w:rsidRDefault="00EF2C7E">
      <w:pPr>
        <w:pStyle w:val="BodyText"/>
        <w:spacing w:before="9"/>
        <w:rPr>
          <w:sz w:val="23"/>
        </w:rPr>
      </w:pPr>
    </w:p>
    <w:p w14:paraId="62DF8E37" w14:textId="77777777" w:rsidR="00EF2C7E" w:rsidRDefault="00E92E8F">
      <w:pPr>
        <w:pStyle w:val="BodyText"/>
        <w:ind w:left="820" w:right="188"/>
      </w:pPr>
      <w:r>
        <w:rPr>
          <w:color w:val="265EAC"/>
        </w:rPr>
        <w:t>This is an excellent point. We are not aware of heat pump-specific studies on advanced thermostats but expect that the savings potential from advanced thermostats would be much lower if temperature setbacks are not available as control strategy. Based on the comments in the 7/11/2024 TAG presentation, we intend to keep heat pumps as an eligible system for this measure but derate the heating savings according to the estimated proportion of heat pumps in VT residential heating systems.</w:t>
      </w:r>
    </w:p>
    <w:p w14:paraId="355FC68C" w14:textId="77777777" w:rsidR="00EF2C7E" w:rsidRDefault="00EF2C7E">
      <w:pPr>
        <w:pStyle w:val="BodyText"/>
        <w:spacing w:before="1"/>
      </w:pPr>
    </w:p>
    <w:p w14:paraId="3650B849" w14:textId="77777777" w:rsidR="00EF2C7E" w:rsidRDefault="00E92E8F">
      <w:pPr>
        <w:pStyle w:val="BodyText"/>
        <w:spacing w:before="1"/>
        <w:ind w:left="820" w:right="318"/>
        <w:rPr>
          <w:color w:val="FF0000"/>
        </w:rPr>
      </w:pPr>
      <w:r>
        <w:rPr>
          <w:color w:val="FF0000"/>
        </w:rPr>
        <w:t>TAG: Please explain the statement: “. . . but derate the heating savings according to the estimated proportion of heat pumps in VT residential heating systems.”</w:t>
      </w:r>
    </w:p>
    <w:p w14:paraId="0B27BECD" w14:textId="77777777" w:rsidR="00E05387" w:rsidRDefault="00E05387">
      <w:pPr>
        <w:pStyle w:val="BodyText"/>
        <w:spacing w:before="1"/>
        <w:ind w:left="820" w:right="318"/>
        <w:rPr>
          <w:color w:val="FF0000"/>
        </w:rPr>
      </w:pPr>
    </w:p>
    <w:p w14:paraId="76C75884" w14:textId="392062D3" w:rsidR="00735F60" w:rsidRPr="00A267AB" w:rsidRDefault="006141D9" w:rsidP="00200E06">
      <w:pPr>
        <w:pStyle w:val="BodyText"/>
        <w:spacing w:before="1"/>
        <w:ind w:left="820" w:right="318"/>
        <w:rPr>
          <w:color w:val="4F6228" w:themeColor="accent3" w:themeShade="80"/>
        </w:rPr>
      </w:pPr>
      <w:r w:rsidRPr="00A267AB">
        <w:rPr>
          <w:color w:val="4F6228" w:themeColor="accent3" w:themeShade="80"/>
        </w:rPr>
        <w:t>W</w:t>
      </w:r>
      <w:r w:rsidR="00E05387" w:rsidRPr="00A267AB">
        <w:rPr>
          <w:color w:val="4F6228" w:themeColor="accent3" w:themeShade="80"/>
        </w:rPr>
        <w:t xml:space="preserve">e will </w:t>
      </w:r>
      <w:r w:rsidRPr="00A267AB">
        <w:rPr>
          <w:color w:val="4F6228" w:themeColor="accent3" w:themeShade="80"/>
        </w:rPr>
        <w:t xml:space="preserve">insert the following term in the heating savings formula: (1 - %CHP), where %CHP equals the percentage of Vermont homes with central heat pumps. For existing homes, %CHP ranges from 3% in single family homes to 6% in multifamily homes, according to the 2020 baseline studies. %CHP is higher in new construction, with 11% of new </w:t>
      </w:r>
      <w:proofErr w:type="gramStart"/>
      <w:r w:rsidRPr="00A267AB">
        <w:rPr>
          <w:color w:val="4F6228" w:themeColor="accent3" w:themeShade="80"/>
        </w:rPr>
        <w:t>single family</w:t>
      </w:r>
      <w:proofErr w:type="gramEnd"/>
      <w:r w:rsidRPr="00A267AB">
        <w:rPr>
          <w:color w:val="4F6228" w:themeColor="accent3" w:themeShade="80"/>
        </w:rPr>
        <w:t xml:space="preserve"> homes having central heat pumps.</w:t>
      </w:r>
      <w:r w:rsidRPr="00A267AB">
        <w:rPr>
          <w:rStyle w:val="FootnoteReference"/>
          <w:color w:val="4F6228" w:themeColor="accent3" w:themeShade="80"/>
        </w:rPr>
        <w:footnoteReference w:id="4"/>
      </w:r>
      <w:r w:rsidR="00200E06" w:rsidRPr="00A267AB">
        <w:rPr>
          <w:color w:val="4F6228" w:themeColor="accent3" w:themeShade="80"/>
        </w:rPr>
        <w:t xml:space="preserve"> This change essentially lowers </w:t>
      </w:r>
      <w:r w:rsidR="00200E06" w:rsidRPr="00A267AB">
        <w:rPr>
          <w:color w:val="4F6228" w:themeColor="accent3" w:themeShade="80"/>
        </w:rPr>
        <w:lastRenderedPageBreak/>
        <w:t xml:space="preserve">the heating savings to account for the estimated proportion of smart thermostats that will be installed to control central heat pumps (ducted air source heat pumps or ground source heat pumps). Alternatively, we could not apply a derating factor, but </w:t>
      </w:r>
      <w:r w:rsidR="00A267AB">
        <w:rPr>
          <w:color w:val="4F6228" w:themeColor="accent3" w:themeShade="80"/>
        </w:rPr>
        <w:t xml:space="preserve">instead </w:t>
      </w:r>
      <w:r w:rsidR="00200E06" w:rsidRPr="00A267AB">
        <w:rPr>
          <w:color w:val="4F6228" w:themeColor="accent3" w:themeShade="80"/>
        </w:rPr>
        <w:t>remove heat pumps as an eligible system type for advanced thermostats, but a TAG member expressed concern with this approach during our early win presentation.</w:t>
      </w:r>
    </w:p>
    <w:p w14:paraId="51BA90AD" w14:textId="77777777" w:rsidR="00EF2C7E" w:rsidRPr="00A267AB" w:rsidRDefault="00EF2C7E">
      <w:pPr>
        <w:pStyle w:val="BodyText"/>
        <w:rPr>
          <w:color w:val="4F6228" w:themeColor="accent3" w:themeShade="80"/>
        </w:rPr>
      </w:pPr>
    </w:p>
    <w:p w14:paraId="7D4D139C" w14:textId="77777777" w:rsidR="00EF2C7E" w:rsidRDefault="00E92E8F">
      <w:pPr>
        <w:pStyle w:val="ListParagraph"/>
        <w:numPr>
          <w:ilvl w:val="0"/>
          <w:numId w:val="3"/>
        </w:numPr>
        <w:tabs>
          <w:tab w:val="left" w:pos="819"/>
          <w:tab w:val="left" w:pos="820"/>
        </w:tabs>
        <w:ind w:right="170" w:hanging="361"/>
        <w:rPr>
          <w:rFonts w:ascii="Symbol" w:hAnsi="Symbol"/>
          <w:sz w:val="24"/>
        </w:rPr>
      </w:pPr>
      <w:r>
        <w:rPr>
          <w:sz w:val="24"/>
        </w:rPr>
        <w:t xml:space="preserve">[Question raised by a member of the public:] To the extent that heat pumps will be cycled on at times when marginal emissions on the electric system are greater, will this be accounted for? [Note: the TAG has not taken a position on the nature of marginal carbon emissions from the electric grid and today’s subgroup is neither agreeing </w:t>
      </w:r>
      <w:proofErr w:type="gramStart"/>
      <w:r>
        <w:rPr>
          <w:sz w:val="24"/>
        </w:rPr>
        <w:t>or</w:t>
      </w:r>
      <w:proofErr w:type="gramEnd"/>
      <w:r>
        <w:rPr>
          <w:sz w:val="24"/>
        </w:rPr>
        <w:t xml:space="preserve"> disagreeing with the premise of this</w:t>
      </w:r>
      <w:r>
        <w:rPr>
          <w:spacing w:val="-3"/>
          <w:sz w:val="24"/>
        </w:rPr>
        <w:t xml:space="preserve"> </w:t>
      </w:r>
      <w:r>
        <w:rPr>
          <w:sz w:val="24"/>
        </w:rPr>
        <w:t>question.]</w:t>
      </w:r>
    </w:p>
    <w:p w14:paraId="10F654EA" w14:textId="77777777" w:rsidR="00EF2C7E" w:rsidRDefault="00EF2C7E">
      <w:pPr>
        <w:pStyle w:val="BodyText"/>
        <w:spacing w:before="2"/>
      </w:pPr>
    </w:p>
    <w:p w14:paraId="7CE89025" w14:textId="3E82B35A" w:rsidR="00EF2C7E" w:rsidRDefault="00E92E8F" w:rsidP="00200E06">
      <w:pPr>
        <w:pStyle w:val="BodyText"/>
        <w:ind w:left="820"/>
      </w:pPr>
      <w:r>
        <w:rPr>
          <w:color w:val="265EAC"/>
        </w:rPr>
        <w:t>We have not yet finalized our approach for grid electricity emission factors; while we</w:t>
      </w:r>
      <w:r w:rsidR="00200E06">
        <w:t xml:space="preserve"> </w:t>
      </w:r>
      <w:r>
        <w:rPr>
          <w:color w:val="265EAC"/>
        </w:rPr>
        <w:t>understand that marginal emissions may vary by time of use, it is unclear whether existing data sources are sufficient to capture this effect on a lifecycle basis.</w:t>
      </w:r>
    </w:p>
    <w:p w14:paraId="00EECF0F" w14:textId="77777777" w:rsidR="00EF2C7E" w:rsidRDefault="00EF2C7E">
      <w:pPr>
        <w:pStyle w:val="BodyText"/>
        <w:spacing w:before="1"/>
      </w:pPr>
    </w:p>
    <w:p w14:paraId="7CAC3D65" w14:textId="7B28B9DB" w:rsidR="00200E06" w:rsidRDefault="00E92E8F" w:rsidP="00CA6CBE">
      <w:pPr>
        <w:pStyle w:val="BodyText"/>
        <w:ind w:left="820" w:right="289"/>
        <w:rPr>
          <w:color w:val="FF0000"/>
        </w:rPr>
      </w:pPr>
      <w:r>
        <w:rPr>
          <w:color w:val="FF0000"/>
        </w:rPr>
        <w:t>TAG: OK, but this warrants further discussion. We understand that California uses 24- hour emissions data, to relate the time-of-use of clean heat measures more closely to their actual emissions effects and thereby create disincentives to measure operations at times of low generation of non-emitting power. We recognize that such granularity may be harder to develop in Vermont’s case, to the extent that we are relying on renewable energy credits (RECs) for non-emitting entitlements, rather than contracts or owned resources.</w:t>
      </w:r>
    </w:p>
    <w:p w14:paraId="2F904F2F" w14:textId="77777777" w:rsidR="00200E06" w:rsidRDefault="00200E06">
      <w:pPr>
        <w:pStyle w:val="BodyText"/>
        <w:ind w:left="820" w:right="289"/>
      </w:pPr>
    </w:p>
    <w:p w14:paraId="4681C14A" w14:textId="7279080B" w:rsidR="00CA6CBE" w:rsidRDefault="00CA6CBE">
      <w:pPr>
        <w:pStyle w:val="BodyText"/>
        <w:ind w:left="820" w:right="289"/>
      </w:pPr>
      <w:r>
        <w:rPr>
          <w:color w:val="4F6228" w:themeColor="accent3" w:themeShade="80"/>
        </w:rPr>
        <w:t>At this time, i</w:t>
      </w:r>
      <w:r w:rsidR="008B78C4">
        <w:rPr>
          <w:color w:val="4F6228" w:themeColor="accent3" w:themeShade="80"/>
        </w:rPr>
        <w:t xml:space="preserve">t appears that our grid electricity emissions factor approach will not support time-varying emission factors; however, we feel this approach is the best available when considering the overall objectives of the clean heat standard and the data sources currently available. </w:t>
      </w:r>
      <w:r>
        <w:rPr>
          <w:color w:val="4F6228" w:themeColor="accent3" w:themeShade="80"/>
        </w:rPr>
        <w:t>Please see our forthcoming memo on emission factors.</w:t>
      </w:r>
    </w:p>
    <w:p w14:paraId="247034AB" w14:textId="77777777" w:rsidR="00EF2C7E" w:rsidRDefault="00EF2C7E">
      <w:pPr>
        <w:pStyle w:val="BodyText"/>
        <w:spacing w:before="3"/>
        <w:rPr>
          <w:sz w:val="25"/>
        </w:rPr>
      </w:pPr>
    </w:p>
    <w:p w14:paraId="7FA1411C" w14:textId="77777777" w:rsidR="00EF2C7E" w:rsidRDefault="00E92E8F">
      <w:pPr>
        <w:pStyle w:val="Heading1"/>
        <w:spacing w:line="264" w:lineRule="exact"/>
      </w:pPr>
      <w:r>
        <w:t>Residential HVAC – Heat pump water heater</w:t>
      </w:r>
    </w:p>
    <w:p w14:paraId="684BC9D4" w14:textId="77777777" w:rsidR="00EF2C7E" w:rsidRDefault="00E92E8F">
      <w:pPr>
        <w:pStyle w:val="ListParagraph"/>
        <w:numPr>
          <w:ilvl w:val="0"/>
          <w:numId w:val="3"/>
        </w:numPr>
        <w:tabs>
          <w:tab w:val="left" w:pos="819"/>
          <w:tab w:val="left" w:pos="820"/>
        </w:tabs>
        <w:ind w:right="147" w:hanging="361"/>
        <w:rPr>
          <w:rFonts w:ascii="Symbol" w:hAnsi="Symbol"/>
          <w:sz w:val="24"/>
        </w:rPr>
      </w:pPr>
      <w:r>
        <w:rPr>
          <w:sz w:val="24"/>
        </w:rPr>
        <w:t>Measure characterizations are split between water heater tanks less-than-55 gallons and greater-than-55 gallons. The characterizations treat the efficiency of the measures the same; is this reasonable? Would it be better to base savings on usage (assuming the data are available) rather than tank capacity? The Tier III TRM shows that the smaller systems produce higher savings than the larger one, which may not necessarily be logical, but it is nonetheless</w:t>
      </w:r>
      <w:r>
        <w:rPr>
          <w:spacing w:val="-3"/>
          <w:sz w:val="24"/>
        </w:rPr>
        <w:t xml:space="preserve"> </w:t>
      </w:r>
      <w:r>
        <w:rPr>
          <w:sz w:val="24"/>
        </w:rPr>
        <w:t>relevant.</w:t>
      </w:r>
    </w:p>
    <w:p w14:paraId="3E8AB131" w14:textId="77777777" w:rsidR="00EF2C7E" w:rsidRDefault="00EF2C7E">
      <w:pPr>
        <w:pStyle w:val="BodyText"/>
        <w:spacing w:before="7"/>
        <w:rPr>
          <w:sz w:val="23"/>
        </w:rPr>
      </w:pPr>
    </w:p>
    <w:p w14:paraId="69BC8335" w14:textId="77777777" w:rsidR="00EF2C7E" w:rsidRDefault="00E92E8F">
      <w:pPr>
        <w:pStyle w:val="BodyText"/>
        <w:ind w:left="820" w:right="156"/>
      </w:pPr>
      <w:r>
        <w:rPr>
          <w:color w:val="265EAC"/>
        </w:rPr>
        <w:t xml:space="preserve">The current measure characterization considers both usage and efficiency. The usage is </w:t>
      </w:r>
      <w:r>
        <w:rPr>
          <w:color w:val="265EAC"/>
          <w:position w:val="2"/>
        </w:rPr>
        <w:t>embedded in the variable Q</w:t>
      </w:r>
      <w:r>
        <w:rPr>
          <w:color w:val="265EAC"/>
          <w:sz w:val="14"/>
        </w:rPr>
        <w:t>load</w:t>
      </w:r>
      <w:r>
        <w:rPr>
          <w:color w:val="265EAC"/>
          <w:position w:val="2"/>
        </w:rPr>
        <w:t xml:space="preserve">, the average water heating load, which is based on average </w:t>
      </w:r>
      <w:r>
        <w:rPr>
          <w:color w:val="265EAC"/>
        </w:rPr>
        <w:t xml:space="preserve">household hot water usage. The average water heating load is divided by the efficiency of the water heater to yield energy consumed. The </w:t>
      </w:r>
      <w:proofErr w:type="gramStart"/>
      <w:r>
        <w:rPr>
          <w:color w:val="265EAC"/>
        </w:rPr>
        <w:t>55 gallon</w:t>
      </w:r>
      <w:proofErr w:type="gramEnd"/>
      <w:r>
        <w:rPr>
          <w:color w:val="265EAC"/>
        </w:rPr>
        <w:t xml:space="preserve"> threshold comes from Code of Federal Regulation (CFR) standards for water heaters which base efficiency on tank size.</w:t>
      </w:r>
    </w:p>
    <w:p w14:paraId="0002835E" w14:textId="77777777" w:rsidR="00EF2C7E" w:rsidRDefault="00EF2C7E">
      <w:pPr>
        <w:pStyle w:val="BodyText"/>
        <w:spacing w:before="9"/>
        <w:rPr>
          <w:sz w:val="23"/>
        </w:rPr>
      </w:pPr>
    </w:p>
    <w:p w14:paraId="7B764AF7" w14:textId="77777777" w:rsidR="00EF2C7E" w:rsidRDefault="00E92E8F">
      <w:pPr>
        <w:pStyle w:val="BodyText"/>
        <w:ind w:left="820" w:right="736"/>
      </w:pPr>
      <w:r>
        <w:rPr>
          <w:color w:val="FF0000"/>
        </w:rPr>
        <w:t>TAG: OK (if this mirrors the Tier III approach, then it is likely that savings will be higher for smaller units).</w:t>
      </w:r>
    </w:p>
    <w:p w14:paraId="0426F12D" w14:textId="77777777" w:rsidR="00EF2C7E" w:rsidRDefault="00EF2C7E">
      <w:pPr>
        <w:pStyle w:val="BodyText"/>
      </w:pPr>
    </w:p>
    <w:p w14:paraId="7EE016EC" w14:textId="5BA30162" w:rsidR="005C1CC6" w:rsidRPr="006B34AD" w:rsidRDefault="005C1CC6" w:rsidP="006B34AD">
      <w:pPr>
        <w:pStyle w:val="BodyText"/>
        <w:ind w:left="810" w:firstLine="10"/>
        <w:rPr>
          <w:color w:val="4F6228" w:themeColor="accent3" w:themeShade="80"/>
        </w:rPr>
      </w:pPr>
      <w:r w:rsidRPr="006B34AD">
        <w:rPr>
          <w:color w:val="4F6228" w:themeColor="accent3" w:themeShade="80"/>
        </w:rPr>
        <w:t xml:space="preserve">Yes, that is likely the case. The </w:t>
      </w:r>
      <w:r w:rsidR="006B34AD" w:rsidRPr="006B34AD">
        <w:rPr>
          <w:color w:val="4F6228" w:themeColor="accent3" w:themeShade="80"/>
        </w:rPr>
        <w:t xml:space="preserve">discrepancy stems from the assumption of a constant water heating load regardless of unit size, and CFR minimum efficiency requirements, which are generally lower for smaller units. This situation is not uncommon in other TRMs though, which generally involve average hot water consumption assumptions that are not tied to </w:t>
      </w:r>
      <w:r w:rsidR="006B34AD" w:rsidRPr="006B34AD">
        <w:rPr>
          <w:color w:val="4F6228" w:themeColor="accent3" w:themeShade="80"/>
        </w:rPr>
        <w:lastRenderedPageBreak/>
        <w:t>the water heater size.</w:t>
      </w:r>
    </w:p>
    <w:p w14:paraId="624DB299" w14:textId="77777777" w:rsidR="006B34AD" w:rsidRDefault="006B34AD" w:rsidP="006B34AD">
      <w:pPr>
        <w:pStyle w:val="BodyText"/>
      </w:pPr>
    </w:p>
    <w:p w14:paraId="64FF0DF5" w14:textId="77777777" w:rsidR="00EF2C7E" w:rsidRDefault="00E92E8F">
      <w:pPr>
        <w:pStyle w:val="ListParagraph"/>
        <w:numPr>
          <w:ilvl w:val="0"/>
          <w:numId w:val="3"/>
        </w:numPr>
        <w:tabs>
          <w:tab w:val="left" w:pos="819"/>
          <w:tab w:val="left" w:pos="820"/>
        </w:tabs>
        <w:ind w:right="232" w:hanging="361"/>
        <w:rPr>
          <w:rFonts w:ascii="Symbol" w:hAnsi="Symbol"/>
          <w:sz w:val="24"/>
        </w:rPr>
      </w:pPr>
      <w:r>
        <w:rPr>
          <w:sz w:val="24"/>
        </w:rPr>
        <w:t>The system that is being replaced is critical to the calculation, too. For example, isn’t there a meaningful difference between replacing the energy use of an on-demand water heater and that of a non-heat pump storage system? Are such differences accounted</w:t>
      </w:r>
      <w:r>
        <w:rPr>
          <w:spacing w:val="-25"/>
          <w:sz w:val="24"/>
        </w:rPr>
        <w:t xml:space="preserve"> </w:t>
      </w:r>
      <w:r>
        <w:rPr>
          <w:sz w:val="24"/>
        </w:rPr>
        <w:t>for?</w:t>
      </w:r>
    </w:p>
    <w:p w14:paraId="27C75C34" w14:textId="77777777" w:rsidR="00EF2C7E" w:rsidRDefault="00EF2C7E">
      <w:pPr>
        <w:pStyle w:val="BodyText"/>
      </w:pPr>
    </w:p>
    <w:p w14:paraId="2628F575" w14:textId="77777777" w:rsidR="00EF2C7E" w:rsidRDefault="00E92E8F">
      <w:pPr>
        <w:pStyle w:val="BodyText"/>
        <w:ind w:left="820" w:right="421"/>
      </w:pPr>
      <w:r>
        <w:rPr>
          <w:color w:val="265EAC"/>
        </w:rPr>
        <w:t>Yes, this characterization considers the energy use of the water heater being replaced; Table 18 provides formulas for baseline efficiency based on water heater fuel and tank volume. We did not include on-demand water heaters in our first iteration of this measure but will add these for the final draft.</w:t>
      </w:r>
    </w:p>
    <w:p w14:paraId="0C5D56AF" w14:textId="77777777" w:rsidR="00EF2C7E" w:rsidRDefault="00EF2C7E">
      <w:pPr>
        <w:pStyle w:val="BodyText"/>
        <w:spacing w:before="10"/>
        <w:rPr>
          <w:sz w:val="23"/>
        </w:rPr>
      </w:pPr>
    </w:p>
    <w:p w14:paraId="73D32E7E" w14:textId="77777777" w:rsidR="00EF2C7E" w:rsidRDefault="00E92E8F">
      <w:pPr>
        <w:pStyle w:val="BodyText"/>
        <w:ind w:left="820"/>
      </w:pPr>
      <w:r>
        <w:rPr>
          <w:color w:val="FF0000"/>
        </w:rPr>
        <w:t>TAG: OK.</w:t>
      </w:r>
    </w:p>
    <w:p w14:paraId="07AB9D73" w14:textId="77777777" w:rsidR="00EF2C7E" w:rsidRDefault="00EF2C7E">
      <w:pPr>
        <w:pStyle w:val="BodyText"/>
        <w:spacing w:before="2"/>
      </w:pPr>
    </w:p>
    <w:p w14:paraId="5DC3FA0D" w14:textId="77777777" w:rsidR="00EF2C7E" w:rsidRDefault="00E92E8F">
      <w:pPr>
        <w:pStyle w:val="ListParagraph"/>
        <w:numPr>
          <w:ilvl w:val="0"/>
          <w:numId w:val="3"/>
        </w:numPr>
        <w:tabs>
          <w:tab w:val="left" w:pos="821"/>
        </w:tabs>
        <w:ind w:right="306" w:hanging="361"/>
        <w:jc w:val="both"/>
        <w:rPr>
          <w:rFonts w:ascii="Symbol" w:hAnsi="Symbol"/>
          <w:sz w:val="24"/>
        </w:rPr>
      </w:pPr>
      <w:r>
        <w:rPr>
          <w:sz w:val="24"/>
        </w:rPr>
        <w:t xml:space="preserve">Do the calculations account for the fact that heat pump water heaters typically must be larger than a standard water heater </w:t>
      </w:r>
      <w:proofErr w:type="gramStart"/>
      <w:r>
        <w:rPr>
          <w:sz w:val="24"/>
        </w:rPr>
        <w:t>in order to</w:t>
      </w:r>
      <w:proofErr w:type="gramEnd"/>
      <w:r>
        <w:rPr>
          <w:sz w:val="24"/>
        </w:rPr>
        <w:t xml:space="preserve"> meet the same level of demand (it’s not a 1:1 size</w:t>
      </w:r>
      <w:r>
        <w:rPr>
          <w:spacing w:val="-4"/>
          <w:sz w:val="24"/>
        </w:rPr>
        <w:t xml:space="preserve"> </w:t>
      </w:r>
      <w:r>
        <w:rPr>
          <w:sz w:val="24"/>
        </w:rPr>
        <w:t>replacement)?</w:t>
      </w:r>
    </w:p>
    <w:p w14:paraId="425CA42E" w14:textId="77777777" w:rsidR="00EF2C7E" w:rsidRDefault="00EF2C7E">
      <w:pPr>
        <w:pStyle w:val="BodyText"/>
      </w:pPr>
    </w:p>
    <w:p w14:paraId="65E8539E" w14:textId="1766499C" w:rsidR="00EF2C7E" w:rsidRDefault="00E92E8F" w:rsidP="006B34AD">
      <w:pPr>
        <w:pStyle w:val="BodyText"/>
        <w:ind w:left="820" w:right="306"/>
        <w:jc w:val="both"/>
      </w:pPr>
      <w:r>
        <w:rPr>
          <w:color w:val="265EAC"/>
        </w:rPr>
        <w:t>By “size” we assume you are referring to the tank volume. Tank size does not directly relate to the energy consumption; a water heater’s energy consumption is directly proportional</w:t>
      </w:r>
      <w:r>
        <w:rPr>
          <w:color w:val="265EAC"/>
          <w:spacing w:val="-11"/>
        </w:rPr>
        <w:t xml:space="preserve"> </w:t>
      </w:r>
      <w:r>
        <w:rPr>
          <w:color w:val="265EAC"/>
        </w:rPr>
        <w:t>to</w:t>
      </w:r>
      <w:r>
        <w:rPr>
          <w:color w:val="265EAC"/>
          <w:spacing w:val="-10"/>
        </w:rPr>
        <w:t xml:space="preserve"> </w:t>
      </w:r>
      <w:r>
        <w:rPr>
          <w:color w:val="265EAC"/>
        </w:rPr>
        <w:t>hot</w:t>
      </w:r>
      <w:r>
        <w:rPr>
          <w:color w:val="265EAC"/>
          <w:spacing w:val="-11"/>
        </w:rPr>
        <w:t xml:space="preserve"> </w:t>
      </w:r>
      <w:r>
        <w:rPr>
          <w:color w:val="265EAC"/>
        </w:rPr>
        <w:t>water</w:t>
      </w:r>
      <w:r>
        <w:rPr>
          <w:color w:val="265EAC"/>
          <w:spacing w:val="-10"/>
        </w:rPr>
        <w:t xml:space="preserve"> </w:t>
      </w:r>
      <w:r>
        <w:rPr>
          <w:color w:val="265EAC"/>
        </w:rPr>
        <w:t>usage</w:t>
      </w:r>
      <w:r>
        <w:rPr>
          <w:color w:val="265EAC"/>
          <w:spacing w:val="-11"/>
        </w:rPr>
        <w:t xml:space="preserve"> </w:t>
      </w:r>
      <w:r>
        <w:rPr>
          <w:color w:val="265EAC"/>
        </w:rPr>
        <w:t>and</w:t>
      </w:r>
      <w:r>
        <w:rPr>
          <w:color w:val="265EAC"/>
          <w:spacing w:val="-10"/>
        </w:rPr>
        <w:t xml:space="preserve"> </w:t>
      </w:r>
      <w:r>
        <w:rPr>
          <w:color w:val="265EAC"/>
        </w:rPr>
        <w:t>inversely</w:t>
      </w:r>
      <w:r>
        <w:rPr>
          <w:color w:val="265EAC"/>
          <w:spacing w:val="-11"/>
        </w:rPr>
        <w:t xml:space="preserve"> </w:t>
      </w:r>
      <w:r>
        <w:rPr>
          <w:color w:val="265EAC"/>
        </w:rPr>
        <w:t>proportional</w:t>
      </w:r>
      <w:r>
        <w:rPr>
          <w:color w:val="265EAC"/>
          <w:spacing w:val="-10"/>
        </w:rPr>
        <w:t xml:space="preserve"> </w:t>
      </w:r>
      <w:r>
        <w:rPr>
          <w:color w:val="265EAC"/>
        </w:rPr>
        <w:t>to</w:t>
      </w:r>
      <w:r>
        <w:rPr>
          <w:color w:val="265EAC"/>
          <w:spacing w:val="-11"/>
        </w:rPr>
        <w:t xml:space="preserve"> </w:t>
      </w:r>
      <w:r>
        <w:rPr>
          <w:color w:val="265EAC"/>
        </w:rPr>
        <w:t>the</w:t>
      </w:r>
      <w:r>
        <w:rPr>
          <w:color w:val="265EAC"/>
          <w:spacing w:val="-10"/>
        </w:rPr>
        <w:t xml:space="preserve"> </w:t>
      </w:r>
      <w:r>
        <w:rPr>
          <w:color w:val="265EAC"/>
        </w:rPr>
        <w:t>water</w:t>
      </w:r>
      <w:r>
        <w:rPr>
          <w:color w:val="265EAC"/>
          <w:spacing w:val="-11"/>
        </w:rPr>
        <w:t xml:space="preserve"> </w:t>
      </w:r>
      <w:r>
        <w:rPr>
          <w:color w:val="265EAC"/>
        </w:rPr>
        <w:t>heater</w:t>
      </w:r>
      <w:r>
        <w:rPr>
          <w:color w:val="265EAC"/>
          <w:spacing w:val="-10"/>
        </w:rPr>
        <w:t xml:space="preserve"> </w:t>
      </w:r>
      <w:r>
        <w:rPr>
          <w:color w:val="265EAC"/>
        </w:rPr>
        <w:t>efficiency. Hot water usage is assumed to be the same in the baseline and efficient cases in our characterization. Tank size only comes into play in our characterization because the baseline water heater is assumed to be a new unit meeting the CFR minimum efficiency standard; for storage water heaters, the CFR standard is a formula based on tank size (see Table 18 in the Heat Pump Water Heater Characterization). The efficient unit is assumed to be a new heat pump water heater on the NEEA Northern Climate</w:t>
      </w:r>
      <w:r w:rsidR="006B34AD">
        <w:t xml:space="preserve"> </w:t>
      </w:r>
      <w:r>
        <w:rPr>
          <w:color w:val="265EAC"/>
        </w:rPr>
        <w:t>Specification qualified products list. The NEEA specification provides Cold Climate Efficiency (CCE) ratings that are not based on tank size.</w:t>
      </w:r>
    </w:p>
    <w:p w14:paraId="1CDCCAF0" w14:textId="77777777" w:rsidR="00EF2C7E" w:rsidRDefault="00EF2C7E">
      <w:pPr>
        <w:pStyle w:val="BodyText"/>
        <w:spacing w:before="1"/>
      </w:pPr>
    </w:p>
    <w:p w14:paraId="5D621A4C" w14:textId="77777777" w:rsidR="00EF2C7E" w:rsidRDefault="00E92E8F">
      <w:pPr>
        <w:pStyle w:val="BodyText"/>
        <w:ind w:left="820"/>
      </w:pPr>
      <w:r>
        <w:rPr>
          <w:color w:val="FF0000"/>
        </w:rPr>
        <w:t>TAG: OK.</w:t>
      </w:r>
    </w:p>
    <w:p w14:paraId="1797CFE5" w14:textId="77777777" w:rsidR="00EF2C7E" w:rsidRDefault="00EF2C7E">
      <w:pPr>
        <w:pStyle w:val="BodyText"/>
        <w:spacing w:before="1"/>
        <w:rPr>
          <w:sz w:val="25"/>
        </w:rPr>
      </w:pPr>
    </w:p>
    <w:p w14:paraId="360F4874" w14:textId="77777777" w:rsidR="00EF2C7E" w:rsidRDefault="00E92E8F">
      <w:pPr>
        <w:pStyle w:val="Heading1"/>
        <w:spacing w:line="264" w:lineRule="exact"/>
        <w:jc w:val="both"/>
      </w:pPr>
      <w:r>
        <w:t>Residential low-flow faucet aerators</w:t>
      </w:r>
    </w:p>
    <w:p w14:paraId="035B4FD4" w14:textId="77777777" w:rsidR="00EF2C7E" w:rsidRDefault="00E92E8F">
      <w:pPr>
        <w:pStyle w:val="ListParagraph"/>
        <w:numPr>
          <w:ilvl w:val="0"/>
          <w:numId w:val="3"/>
        </w:numPr>
        <w:tabs>
          <w:tab w:val="left" w:pos="821"/>
        </w:tabs>
        <w:ind w:right="570" w:hanging="361"/>
        <w:jc w:val="both"/>
        <w:rPr>
          <w:rFonts w:ascii="Symbol" w:hAnsi="Symbol"/>
          <w:sz w:val="24"/>
        </w:rPr>
      </w:pPr>
      <w:r>
        <w:rPr>
          <w:sz w:val="24"/>
        </w:rPr>
        <w:t>Does aeration reduce the thermal capacity of the water by injecting more air into the water and therefore requiring more energy to achieve desired temperatures or does it simply reduce the flow of</w:t>
      </w:r>
      <w:r>
        <w:rPr>
          <w:spacing w:val="-4"/>
          <w:sz w:val="24"/>
        </w:rPr>
        <w:t xml:space="preserve"> </w:t>
      </w:r>
      <w:r>
        <w:rPr>
          <w:sz w:val="24"/>
        </w:rPr>
        <w:t>water?</w:t>
      </w:r>
    </w:p>
    <w:p w14:paraId="611228A4" w14:textId="77777777" w:rsidR="00EF2C7E" w:rsidRDefault="00EF2C7E">
      <w:pPr>
        <w:pStyle w:val="BodyText"/>
        <w:spacing w:before="5"/>
        <w:rPr>
          <w:sz w:val="23"/>
        </w:rPr>
      </w:pPr>
    </w:p>
    <w:p w14:paraId="10AE175D" w14:textId="77777777" w:rsidR="00EF2C7E" w:rsidRDefault="00E92E8F">
      <w:pPr>
        <w:pStyle w:val="BodyText"/>
        <w:ind w:left="820" w:right="570"/>
        <w:jc w:val="both"/>
      </w:pPr>
      <w:r>
        <w:rPr>
          <w:color w:val="265EAC"/>
        </w:rPr>
        <w:t>We</w:t>
      </w:r>
      <w:r>
        <w:rPr>
          <w:color w:val="265EAC"/>
          <w:spacing w:val="-8"/>
        </w:rPr>
        <w:t xml:space="preserve"> </w:t>
      </w:r>
      <w:r>
        <w:rPr>
          <w:color w:val="265EAC"/>
        </w:rPr>
        <w:t>are</w:t>
      </w:r>
      <w:r>
        <w:rPr>
          <w:color w:val="265EAC"/>
          <w:spacing w:val="-7"/>
        </w:rPr>
        <w:t xml:space="preserve"> </w:t>
      </w:r>
      <w:r>
        <w:rPr>
          <w:color w:val="265EAC"/>
        </w:rPr>
        <w:t>not</w:t>
      </w:r>
      <w:r>
        <w:rPr>
          <w:color w:val="265EAC"/>
          <w:spacing w:val="-7"/>
        </w:rPr>
        <w:t xml:space="preserve"> </w:t>
      </w:r>
      <w:r>
        <w:rPr>
          <w:color w:val="265EAC"/>
        </w:rPr>
        <w:t>aware</w:t>
      </w:r>
      <w:r>
        <w:rPr>
          <w:color w:val="265EAC"/>
          <w:spacing w:val="-7"/>
        </w:rPr>
        <w:t xml:space="preserve"> </w:t>
      </w:r>
      <w:r>
        <w:rPr>
          <w:color w:val="265EAC"/>
        </w:rPr>
        <w:t>of</w:t>
      </w:r>
      <w:r>
        <w:rPr>
          <w:color w:val="265EAC"/>
          <w:spacing w:val="-7"/>
        </w:rPr>
        <w:t xml:space="preserve"> </w:t>
      </w:r>
      <w:r>
        <w:rPr>
          <w:color w:val="265EAC"/>
        </w:rPr>
        <w:t>the</w:t>
      </w:r>
      <w:r>
        <w:rPr>
          <w:color w:val="265EAC"/>
          <w:spacing w:val="-8"/>
        </w:rPr>
        <w:t xml:space="preserve"> </w:t>
      </w:r>
      <w:r>
        <w:rPr>
          <w:color w:val="265EAC"/>
        </w:rPr>
        <w:t>effect</w:t>
      </w:r>
      <w:r>
        <w:rPr>
          <w:color w:val="265EAC"/>
          <w:spacing w:val="-7"/>
        </w:rPr>
        <w:t xml:space="preserve"> </w:t>
      </w:r>
      <w:r>
        <w:rPr>
          <w:color w:val="265EAC"/>
        </w:rPr>
        <w:t>that</w:t>
      </w:r>
      <w:r>
        <w:rPr>
          <w:color w:val="265EAC"/>
          <w:spacing w:val="-7"/>
        </w:rPr>
        <w:t xml:space="preserve"> </w:t>
      </w:r>
      <w:r>
        <w:rPr>
          <w:color w:val="265EAC"/>
        </w:rPr>
        <w:t>is</w:t>
      </w:r>
      <w:r>
        <w:rPr>
          <w:color w:val="265EAC"/>
          <w:spacing w:val="-7"/>
        </w:rPr>
        <w:t xml:space="preserve"> </w:t>
      </w:r>
      <w:r>
        <w:rPr>
          <w:color w:val="265EAC"/>
        </w:rPr>
        <w:t>described.</w:t>
      </w:r>
      <w:r>
        <w:rPr>
          <w:color w:val="265EAC"/>
          <w:spacing w:val="-7"/>
        </w:rPr>
        <w:t xml:space="preserve"> </w:t>
      </w:r>
      <w:r>
        <w:rPr>
          <w:color w:val="265EAC"/>
        </w:rPr>
        <w:t>Low</w:t>
      </w:r>
      <w:r>
        <w:rPr>
          <w:color w:val="265EAC"/>
          <w:spacing w:val="-8"/>
        </w:rPr>
        <w:t xml:space="preserve"> </w:t>
      </w:r>
      <w:r>
        <w:rPr>
          <w:color w:val="265EAC"/>
        </w:rPr>
        <w:t>flow</w:t>
      </w:r>
      <w:r>
        <w:rPr>
          <w:color w:val="265EAC"/>
          <w:spacing w:val="-7"/>
        </w:rPr>
        <w:t xml:space="preserve"> </w:t>
      </w:r>
      <w:r>
        <w:rPr>
          <w:color w:val="265EAC"/>
        </w:rPr>
        <w:t>aerators</w:t>
      </w:r>
      <w:r>
        <w:rPr>
          <w:color w:val="265EAC"/>
          <w:spacing w:val="-7"/>
        </w:rPr>
        <w:t xml:space="preserve"> </w:t>
      </w:r>
      <w:r>
        <w:rPr>
          <w:color w:val="265EAC"/>
        </w:rPr>
        <w:t>directly</w:t>
      </w:r>
      <w:r>
        <w:rPr>
          <w:color w:val="265EAC"/>
          <w:spacing w:val="-7"/>
        </w:rPr>
        <w:t xml:space="preserve"> </w:t>
      </w:r>
      <w:r>
        <w:rPr>
          <w:color w:val="265EAC"/>
        </w:rPr>
        <w:t>reduce</w:t>
      </w:r>
      <w:r>
        <w:rPr>
          <w:color w:val="265EAC"/>
          <w:spacing w:val="-7"/>
        </w:rPr>
        <w:t xml:space="preserve"> </w:t>
      </w:r>
      <w:r>
        <w:rPr>
          <w:color w:val="265EAC"/>
        </w:rPr>
        <w:t>the flow</w:t>
      </w:r>
      <w:r>
        <w:rPr>
          <w:color w:val="265EAC"/>
          <w:spacing w:val="-11"/>
        </w:rPr>
        <w:t xml:space="preserve"> </w:t>
      </w:r>
      <w:r>
        <w:rPr>
          <w:color w:val="265EAC"/>
        </w:rPr>
        <w:t>of</w:t>
      </w:r>
      <w:r>
        <w:rPr>
          <w:color w:val="265EAC"/>
          <w:spacing w:val="-11"/>
        </w:rPr>
        <w:t xml:space="preserve"> </w:t>
      </w:r>
      <w:r>
        <w:rPr>
          <w:color w:val="265EAC"/>
        </w:rPr>
        <w:t>water</w:t>
      </w:r>
      <w:r>
        <w:rPr>
          <w:color w:val="265EAC"/>
          <w:spacing w:val="-10"/>
        </w:rPr>
        <w:t xml:space="preserve"> </w:t>
      </w:r>
      <w:r>
        <w:rPr>
          <w:color w:val="265EAC"/>
        </w:rPr>
        <w:t>resulting</w:t>
      </w:r>
      <w:r>
        <w:rPr>
          <w:color w:val="265EAC"/>
          <w:spacing w:val="-11"/>
        </w:rPr>
        <w:t xml:space="preserve"> </w:t>
      </w:r>
      <w:r>
        <w:rPr>
          <w:color w:val="265EAC"/>
        </w:rPr>
        <w:t>in</w:t>
      </w:r>
      <w:r>
        <w:rPr>
          <w:color w:val="265EAC"/>
          <w:spacing w:val="-11"/>
        </w:rPr>
        <w:t xml:space="preserve"> </w:t>
      </w:r>
      <w:r>
        <w:rPr>
          <w:color w:val="265EAC"/>
        </w:rPr>
        <w:t>a</w:t>
      </w:r>
      <w:r>
        <w:rPr>
          <w:color w:val="265EAC"/>
          <w:spacing w:val="-10"/>
        </w:rPr>
        <w:t xml:space="preserve"> </w:t>
      </w:r>
      <w:r>
        <w:rPr>
          <w:color w:val="265EAC"/>
        </w:rPr>
        <w:t>reduction</w:t>
      </w:r>
      <w:r>
        <w:rPr>
          <w:color w:val="265EAC"/>
          <w:spacing w:val="-11"/>
        </w:rPr>
        <w:t xml:space="preserve"> </w:t>
      </w:r>
      <w:r>
        <w:rPr>
          <w:color w:val="265EAC"/>
        </w:rPr>
        <w:t>of</w:t>
      </w:r>
      <w:r>
        <w:rPr>
          <w:color w:val="265EAC"/>
          <w:spacing w:val="-11"/>
        </w:rPr>
        <w:t xml:space="preserve"> </w:t>
      </w:r>
      <w:r>
        <w:rPr>
          <w:color w:val="265EAC"/>
        </w:rPr>
        <w:t>hot</w:t>
      </w:r>
      <w:r>
        <w:rPr>
          <w:color w:val="265EAC"/>
          <w:spacing w:val="-10"/>
        </w:rPr>
        <w:t xml:space="preserve"> </w:t>
      </w:r>
      <w:r>
        <w:rPr>
          <w:color w:val="265EAC"/>
        </w:rPr>
        <w:t>water</w:t>
      </w:r>
      <w:r>
        <w:rPr>
          <w:color w:val="265EAC"/>
          <w:spacing w:val="-11"/>
        </w:rPr>
        <w:t xml:space="preserve"> </w:t>
      </w:r>
      <w:r>
        <w:rPr>
          <w:color w:val="265EAC"/>
        </w:rPr>
        <w:t>usage</w:t>
      </w:r>
      <w:r>
        <w:rPr>
          <w:color w:val="265EAC"/>
          <w:spacing w:val="-11"/>
        </w:rPr>
        <w:t xml:space="preserve"> </w:t>
      </w:r>
      <w:r>
        <w:rPr>
          <w:color w:val="265EAC"/>
        </w:rPr>
        <w:t>and</w:t>
      </w:r>
      <w:r>
        <w:rPr>
          <w:color w:val="265EAC"/>
          <w:spacing w:val="-10"/>
        </w:rPr>
        <w:t xml:space="preserve"> </w:t>
      </w:r>
      <w:r>
        <w:rPr>
          <w:color w:val="265EAC"/>
        </w:rPr>
        <w:t>thus</w:t>
      </w:r>
      <w:r>
        <w:rPr>
          <w:color w:val="265EAC"/>
          <w:spacing w:val="-11"/>
        </w:rPr>
        <w:t xml:space="preserve"> </w:t>
      </w:r>
      <w:r>
        <w:rPr>
          <w:color w:val="265EAC"/>
        </w:rPr>
        <w:t>thermal</w:t>
      </w:r>
      <w:r>
        <w:rPr>
          <w:color w:val="265EAC"/>
          <w:spacing w:val="-11"/>
        </w:rPr>
        <w:t xml:space="preserve"> </w:t>
      </w:r>
      <w:r>
        <w:rPr>
          <w:color w:val="265EAC"/>
        </w:rPr>
        <w:t>energy.</w:t>
      </w:r>
      <w:r>
        <w:rPr>
          <w:color w:val="265EAC"/>
          <w:spacing w:val="-10"/>
        </w:rPr>
        <w:t xml:space="preserve"> </w:t>
      </w:r>
      <w:r>
        <w:rPr>
          <w:color w:val="265EAC"/>
        </w:rPr>
        <w:t>Our characterization is consistent with TRM characterizations in Vermont and industry wide.</w:t>
      </w:r>
    </w:p>
    <w:p w14:paraId="01C300F6" w14:textId="77777777" w:rsidR="00EF2C7E" w:rsidRDefault="00EF2C7E">
      <w:pPr>
        <w:pStyle w:val="BodyText"/>
        <w:spacing w:before="10"/>
        <w:rPr>
          <w:sz w:val="23"/>
        </w:rPr>
      </w:pPr>
    </w:p>
    <w:p w14:paraId="31089D5B" w14:textId="77777777" w:rsidR="00EF2C7E" w:rsidRDefault="00E92E8F">
      <w:pPr>
        <w:pStyle w:val="BodyText"/>
        <w:ind w:left="820"/>
        <w:jc w:val="both"/>
      </w:pPr>
      <w:r>
        <w:rPr>
          <w:color w:val="FF0000"/>
        </w:rPr>
        <w:t>TAG: OK.</w:t>
      </w:r>
    </w:p>
    <w:p w14:paraId="32898A8C" w14:textId="77777777" w:rsidR="00EF2C7E" w:rsidRDefault="00EF2C7E">
      <w:pPr>
        <w:pStyle w:val="BodyText"/>
        <w:spacing w:before="7"/>
      </w:pPr>
    </w:p>
    <w:p w14:paraId="6194E936" w14:textId="77777777" w:rsidR="00EF2C7E" w:rsidRDefault="00E92E8F">
      <w:pPr>
        <w:pStyle w:val="Heading1"/>
        <w:spacing w:before="1" w:line="264" w:lineRule="exact"/>
        <w:jc w:val="both"/>
      </w:pPr>
      <w:r>
        <w:t>Residential low-flow showerheads</w:t>
      </w:r>
    </w:p>
    <w:p w14:paraId="28C399FB" w14:textId="77777777" w:rsidR="00EF2C7E" w:rsidRDefault="00E92E8F">
      <w:pPr>
        <w:pStyle w:val="ListParagraph"/>
        <w:numPr>
          <w:ilvl w:val="0"/>
          <w:numId w:val="3"/>
        </w:numPr>
        <w:tabs>
          <w:tab w:val="left" w:pos="819"/>
          <w:tab w:val="left" w:pos="820"/>
        </w:tabs>
        <w:spacing w:line="508" w:lineRule="auto"/>
        <w:ind w:right="3985" w:hanging="361"/>
        <w:rPr>
          <w:rFonts w:ascii="Symbol" w:hAnsi="Symbol"/>
          <w:sz w:val="24"/>
        </w:rPr>
      </w:pPr>
      <w:r>
        <w:rPr>
          <w:sz w:val="24"/>
        </w:rPr>
        <w:t>[Same questions as for low-flow faucet</w:t>
      </w:r>
      <w:r>
        <w:rPr>
          <w:spacing w:val="-18"/>
          <w:sz w:val="24"/>
        </w:rPr>
        <w:t xml:space="preserve"> </w:t>
      </w:r>
      <w:r>
        <w:rPr>
          <w:sz w:val="24"/>
        </w:rPr>
        <w:t>aerators]</w:t>
      </w:r>
      <w:r>
        <w:rPr>
          <w:color w:val="FF0000"/>
          <w:sz w:val="24"/>
        </w:rPr>
        <w:t xml:space="preserve"> TAG:</w:t>
      </w:r>
      <w:r>
        <w:rPr>
          <w:color w:val="FF0000"/>
          <w:spacing w:val="-2"/>
          <w:sz w:val="24"/>
        </w:rPr>
        <w:t xml:space="preserve"> </w:t>
      </w:r>
      <w:r>
        <w:rPr>
          <w:color w:val="FF0000"/>
          <w:sz w:val="24"/>
        </w:rPr>
        <w:t>OK.</w:t>
      </w:r>
    </w:p>
    <w:p w14:paraId="72F6F218" w14:textId="77777777" w:rsidR="00EF2C7E" w:rsidRDefault="00E92E8F">
      <w:pPr>
        <w:pStyle w:val="Heading1"/>
        <w:spacing w:line="252" w:lineRule="exact"/>
      </w:pPr>
      <w:r>
        <w:t>Residential induction stove tops</w:t>
      </w:r>
    </w:p>
    <w:p w14:paraId="06B2809A" w14:textId="77777777" w:rsidR="00EF2C7E" w:rsidRDefault="00E92E8F">
      <w:pPr>
        <w:pStyle w:val="ListParagraph"/>
        <w:numPr>
          <w:ilvl w:val="0"/>
          <w:numId w:val="3"/>
        </w:numPr>
        <w:tabs>
          <w:tab w:val="left" w:pos="819"/>
          <w:tab w:val="left" w:pos="820"/>
        </w:tabs>
        <w:ind w:right="199" w:hanging="361"/>
        <w:rPr>
          <w:rFonts w:ascii="Symbol" w:hAnsi="Symbol"/>
          <w:sz w:val="24"/>
        </w:rPr>
      </w:pPr>
      <w:r>
        <w:rPr>
          <w:sz w:val="24"/>
        </w:rPr>
        <w:t xml:space="preserve">There is some confusion about whether gas for cooking is considered “thermal” under Act 18. The RCI definition includes all uses of fossil fuels, but earlier guidance from PUC staff to a TAG member indicated that cooking and back-up power generation were </w:t>
      </w:r>
      <w:r>
        <w:rPr>
          <w:sz w:val="24"/>
        </w:rPr>
        <w:lastRenderedPageBreak/>
        <w:t xml:space="preserve">considered non-thermal and should </w:t>
      </w:r>
      <w:r>
        <w:rPr>
          <w:b/>
          <w:sz w:val="24"/>
        </w:rPr>
        <w:t xml:space="preserve">not </w:t>
      </w:r>
      <w:r>
        <w:rPr>
          <w:sz w:val="24"/>
        </w:rPr>
        <w:t>be included in the registry. Please clarify what guidance PUC has provided OD on this</w:t>
      </w:r>
      <w:r>
        <w:rPr>
          <w:spacing w:val="-6"/>
          <w:sz w:val="24"/>
        </w:rPr>
        <w:t xml:space="preserve"> </w:t>
      </w:r>
      <w:r>
        <w:rPr>
          <w:sz w:val="24"/>
        </w:rPr>
        <w:t>issue.</w:t>
      </w:r>
    </w:p>
    <w:p w14:paraId="08FC4D6B" w14:textId="77777777" w:rsidR="00EF2C7E" w:rsidRDefault="00EF2C7E">
      <w:pPr>
        <w:pStyle w:val="BodyText"/>
        <w:spacing w:before="1"/>
        <w:rPr>
          <w:sz w:val="23"/>
        </w:rPr>
      </w:pPr>
    </w:p>
    <w:p w14:paraId="5232C18F" w14:textId="77777777" w:rsidR="00EF2C7E" w:rsidRDefault="00E92E8F">
      <w:pPr>
        <w:pStyle w:val="BodyText"/>
        <w:spacing w:line="237" w:lineRule="auto"/>
        <w:ind w:left="820" w:right="423"/>
      </w:pPr>
      <w:r>
        <w:rPr>
          <w:color w:val="265EAC"/>
        </w:rPr>
        <w:t xml:space="preserve">We do not recall specific guidance from the PUC on this issue. We included induction stove tops because they were included in the measure list for the clean heat potential study. We shared our intended measure list with the PUC on April </w:t>
      </w:r>
      <w:proofErr w:type="gramStart"/>
      <w:r>
        <w:rPr>
          <w:color w:val="265EAC"/>
        </w:rPr>
        <w:t>22</w:t>
      </w:r>
      <w:proofErr w:type="spellStart"/>
      <w:r>
        <w:rPr>
          <w:color w:val="265EAC"/>
          <w:position w:val="9"/>
          <w:sz w:val="14"/>
        </w:rPr>
        <w:t>nd</w:t>
      </w:r>
      <w:proofErr w:type="spellEnd"/>
      <w:proofErr w:type="gramEnd"/>
      <w:r>
        <w:rPr>
          <w:color w:val="265EAC"/>
          <w:position w:val="9"/>
          <w:sz w:val="14"/>
        </w:rPr>
        <w:t xml:space="preserve"> </w:t>
      </w:r>
      <w:r>
        <w:rPr>
          <w:color w:val="265EAC"/>
        </w:rPr>
        <w:t>and it was distributed to the TAG on April 29</w:t>
      </w:r>
      <w:proofErr w:type="spellStart"/>
      <w:r>
        <w:rPr>
          <w:color w:val="265EAC"/>
          <w:position w:val="9"/>
          <w:sz w:val="14"/>
        </w:rPr>
        <w:t>th</w:t>
      </w:r>
      <w:proofErr w:type="spellEnd"/>
      <w:r>
        <w:rPr>
          <w:color w:val="265EAC"/>
        </w:rPr>
        <w:t>. We understand that the PUC intends to provide guidance on this issue.</w:t>
      </w:r>
    </w:p>
    <w:p w14:paraId="003873EE" w14:textId="77777777" w:rsidR="00EF2C7E" w:rsidRDefault="00EF2C7E">
      <w:pPr>
        <w:pStyle w:val="BodyText"/>
        <w:spacing w:before="6"/>
      </w:pPr>
    </w:p>
    <w:p w14:paraId="10C410EF" w14:textId="77777777" w:rsidR="00EF2C7E" w:rsidRDefault="00E92E8F">
      <w:pPr>
        <w:pStyle w:val="BodyText"/>
        <w:spacing w:before="1"/>
        <w:ind w:left="820" w:right="346"/>
      </w:pPr>
      <w:r>
        <w:rPr>
          <w:color w:val="FF0000"/>
        </w:rPr>
        <w:t>TAG: OK. It appears that induction stove tops will be considered clean heat measures, but we await PUC clarification.</w:t>
      </w:r>
    </w:p>
    <w:p w14:paraId="4CCA5F64" w14:textId="77777777" w:rsidR="00EF2C7E" w:rsidRDefault="00EF2C7E">
      <w:pPr>
        <w:pStyle w:val="BodyText"/>
      </w:pPr>
    </w:p>
    <w:p w14:paraId="0ABA5AE0" w14:textId="77777777" w:rsidR="00EF2C7E" w:rsidRDefault="00E92E8F">
      <w:pPr>
        <w:pStyle w:val="ListParagraph"/>
        <w:numPr>
          <w:ilvl w:val="0"/>
          <w:numId w:val="3"/>
        </w:numPr>
        <w:tabs>
          <w:tab w:val="left" w:pos="819"/>
          <w:tab w:val="left" w:pos="820"/>
        </w:tabs>
        <w:ind w:right="146" w:hanging="361"/>
        <w:rPr>
          <w:rFonts w:ascii="Symbol" w:hAnsi="Symbol"/>
          <w:sz w:val="24"/>
        </w:rPr>
      </w:pPr>
      <w:r>
        <w:rPr>
          <w:sz w:val="24"/>
        </w:rPr>
        <w:t>Measure cost is given here, as it is for the other measures. Is there a particular reason that it’s</w:t>
      </w:r>
      <w:r>
        <w:rPr>
          <w:spacing w:val="-3"/>
          <w:sz w:val="24"/>
        </w:rPr>
        <w:t xml:space="preserve"> </w:t>
      </w:r>
      <w:r>
        <w:rPr>
          <w:sz w:val="24"/>
        </w:rPr>
        <w:t>included?</w:t>
      </w:r>
    </w:p>
    <w:p w14:paraId="2A3CFD5F" w14:textId="77777777" w:rsidR="00EF2C7E" w:rsidRDefault="00E92E8F">
      <w:pPr>
        <w:pStyle w:val="BodyText"/>
        <w:ind w:left="820" w:right="233"/>
      </w:pPr>
      <w:r>
        <w:rPr>
          <w:color w:val="265EAC"/>
        </w:rPr>
        <w:t>We discussed whether we should include measure costs in clean measure characterizations with PUC staff in early meetings. Staff suggested including costs to allow for cost-effectiveness analysis. Therefore, we have been including measure costs where readily available, drawing from secondary sources. However, the primary focus of our work is characterizing the carbon and energy impacts.</w:t>
      </w:r>
    </w:p>
    <w:p w14:paraId="00D0EF9F" w14:textId="77777777" w:rsidR="00EF2C7E" w:rsidRDefault="00EF2C7E">
      <w:pPr>
        <w:pStyle w:val="BodyText"/>
      </w:pPr>
    </w:p>
    <w:p w14:paraId="6A854C86" w14:textId="77777777" w:rsidR="00EF2C7E" w:rsidRDefault="00E92E8F">
      <w:pPr>
        <w:pStyle w:val="BodyText"/>
        <w:spacing w:line="242" w:lineRule="auto"/>
        <w:ind w:left="820" w:right="328"/>
        <w:rPr>
          <w:color w:val="FF0000"/>
        </w:rPr>
      </w:pPr>
      <w:r>
        <w:rPr>
          <w:color w:val="FF0000"/>
        </w:rPr>
        <w:t>TAG: OK. Please clarify if costs are total measure costs or incremental? If incremental, what assumptions did you make to determine them?</w:t>
      </w:r>
    </w:p>
    <w:p w14:paraId="2D42EE01" w14:textId="77777777" w:rsidR="006B34AD" w:rsidRDefault="006B34AD">
      <w:pPr>
        <w:pStyle w:val="BodyText"/>
        <w:spacing w:line="242" w:lineRule="auto"/>
        <w:ind w:left="820" w:right="328"/>
        <w:rPr>
          <w:color w:val="FF0000"/>
        </w:rPr>
      </w:pPr>
    </w:p>
    <w:p w14:paraId="78C4C250" w14:textId="77777777" w:rsidR="00DE0B71" w:rsidRDefault="006B34AD">
      <w:pPr>
        <w:pStyle w:val="BodyText"/>
        <w:spacing w:line="242" w:lineRule="auto"/>
        <w:ind w:left="820" w:right="328"/>
        <w:rPr>
          <w:color w:val="4F6228" w:themeColor="accent3" w:themeShade="80"/>
        </w:rPr>
      </w:pPr>
      <w:r>
        <w:rPr>
          <w:color w:val="4F6228" w:themeColor="accent3" w:themeShade="80"/>
        </w:rPr>
        <w:t xml:space="preserve">In general, the type of cost (full or incremental) depends on the Decision/Action Type for the measure, noted in the measure headers. </w:t>
      </w:r>
      <w:r w:rsidR="00DE0B71">
        <w:rPr>
          <w:color w:val="4F6228" w:themeColor="accent3" w:themeShade="80"/>
        </w:rPr>
        <w:t>(A measure characterization may cover more than one Decision/Action Type.)</w:t>
      </w:r>
    </w:p>
    <w:p w14:paraId="577FE3B3" w14:textId="52EA9579" w:rsidR="00DE0B71" w:rsidRDefault="006B34AD" w:rsidP="00DE0B71">
      <w:pPr>
        <w:pStyle w:val="BodyText"/>
        <w:numPr>
          <w:ilvl w:val="0"/>
          <w:numId w:val="5"/>
        </w:numPr>
        <w:spacing w:line="242" w:lineRule="auto"/>
        <w:ind w:right="328"/>
        <w:rPr>
          <w:color w:val="4F6228" w:themeColor="accent3" w:themeShade="80"/>
        </w:rPr>
      </w:pPr>
      <w:r>
        <w:rPr>
          <w:color w:val="4F6228" w:themeColor="accent3" w:themeShade="80"/>
        </w:rPr>
        <w:t>For market opportunity (MOP) installations</w:t>
      </w:r>
      <w:r w:rsidR="00DE0B71">
        <w:rPr>
          <w:color w:val="4F6228" w:themeColor="accent3" w:themeShade="80"/>
        </w:rPr>
        <w:t xml:space="preserve"> or new construction, the measure cost should be incremental.</w:t>
      </w:r>
      <w:r w:rsidR="00F40CD0">
        <w:rPr>
          <w:color w:val="4F6228" w:themeColor="accent3" w:themeShade="80"/>
        </w:rPr>
        <w:t xml:space="preserve"> The baseline assumptions and data sources for incremental costs should be provided in an endnote.</w:t>
      </w:r>
    </w:p>
    <w:p w14:paraId="5DF749C4" w14:textId="37C92B3A" w:rsidR="006B34AD" w:rsidRDefault="00DE0B71" w:rsidP="00DE0B71">
      <w:pPr>
        <w:pStyle w:val="BodyText"/>
        <w:numPr>
          <w:ilvl w:val="0"/>
          <w:numId w:val="5"/>
        </w:numPr>
        <w:spacing w:line="242" w:lineRule="auto"/>
        <w:ind w:right="328"/>
        <w:rPr>
          <w:color w:val="4F6228" w:themeColor="accent3" w:themeShade="80"/>
        </w:rPr>
      </w:pPr>
      <w:r>
        <w:rPr>
          <w:color w:val="4F6228" w:themeColor="accent3" w:themeShade="80"/>
        </w:rPr>
        <w:t>For Early Replacement or Retrofits, the measure cost should be the full installed cost.</w:t>
      </w:r>
    </w:p>
    <w:p w14:paraId="7EF27115" w14:textId="77777777" w:rsidR="00DE0B71" w:rsidRDefault="00DE0B71">
      <w:pPr>
        <w:pStyle w:val="BodyText"/>
        <w:spacing w:line="242" w:lineRule="auto"/>
        <w:ind w:left="820" w:right="328"/>
        <w:rPr>
          <w:color w:val="4F6228" w:themeColor="accent3" w:themeShade="80"/>
        </w:rPr>
      </w:pPr>
    </w:p>
    <w:p w14:paraId="4FE25505" w14:textId="45BB1F62" w:rsidR="00DE0B71" w:rsidRPr="006B34AD" w:rsidRDefault="00DE0B71">
      <w:pPr>
        <w:pStyle w:val="BodyText"/>
        <w:spacing w:line="242" w:lineRule="auto"/>
        <w:ind w:left="820" w:right="328"/>
        <w:rPr>
          <w:color w:val="4F6228" w:themeColor="accent3" w:themeShade="80"/>
        </w:rPr>
      </w:pPr>
      <w:r>
        <w:rPr>
          <w:color w:val="4F6228" w:themeColor="accent3" w:themeShade="80"/>
        </w:rPr>
        <w:t xml:space="preserve">For induction stovetops, we only included the full measure cost, though the characterization covers Early Replacements and MOPs.  </w:t>
      </w:r>
      <w:r w:rsidR="006F350F">
        <w:rPr>
          <w:color w:val="4F6228" w:themeColor="accent3" w:themeShade="80"/>
        </w:rPr>
        <w:t>We will add incremental cost assumptions to support MOPs. The study used for the induction stovetop cost</w:t>
      </w:r>
      <w:r w:rsidR="00BE185C">
        <w:rPr>
          <w:rStyle w:val="FootnoteReference"/>
          <w:color w:val="4F6228" w:themeColor="accent3" w:themeShade="80"/>
        </w:rPr>
        <w:footnoteReference w:id="5"/>
      </w:r>
      <w:r w:rsidR="006F350F">
        <w:rPr>
          <w:color w:val="4F6228" w:themeColor="accent3" w:themeShade="80"/>
        </w:rPr>
        <w:t xml:space="preserve"> also provides cost estimates of $1,400 - $2,200 for gas stovetops and $1,700 - $2,100 for </w:t>
      </w:r>
      <w:r w:rsidR="00A7621F">
        <w:rPr>
          <w:color w:val="4F6228" w:themeColor="accent3" w:themeShade="80"/>
        </w:rPr>
        <w:t xml:space="preserve">standard </w:t>
      </w:r>
      <w:r w:rsidR="006F350F">
        <w:rPr>
          <w:color w:val="4F6228" w:themeColor="accent3" w:themeShade="80"/>
        </w:rPr>
        <w:t>electric</w:t>
      </w:r>
      <w:r w:rsidR="00A7621F">
        <w:rPr>
          <w:color w:val="4F6228" w:themeColor="accent3" w:themeShade="80"/>
        </w:rPr>
        <w:t xml:space="preserve"> stovetops</w:t>
      </w:r>
      <w:r w:rsidR="006F350F">
        <w:rPr>
          <w:color w:val="4F6228" w:themeColor="accent3" w:themeShade="80"/>
        </w:rPr>
        <w:t>.</w:t>
      </w:r>
      <w:r w:rsidR="00A7621F">
        <w:rPr>
          <w:color w:val="4F6228" w:themeColor="accent3" w:themeShade="80"/>
        </w:rPr>
        <w:t xml:space="preserve"> For replacing a gas stovetop, the incremental cost would be 2,100 – (1,400 + 2,200)/2 = $300, and for electric stovetops, 2,100 – (1,700 + 2,100)/2 = $200. We will investigate deriving an average incremental cost assumption to support installations where the existing stovetop fuel is not known.</w:t>
      </w:r>
      <w:r w:rsidR="006F350F">
        <w:rPr>
          <w:color w:val="4F6228" w:themeColor="accent3" w:themeShade="80"/>
        </w:rPr>
        <w:t xml:space="preserve"> </w:t>
      </w:r>
    </w:p>
    <w:p w14:paraId="16D59F81" w14:textId="77777777" w:rsidR="00EF2C7E" w:rsidRDefault="00EF2C7E">
      <w:pPr>
        <w:pStyle w:val="BodyText"/>
      </w:pPr>
    </w:p>
    <w:p w14:paraId="1C54C93E" w14:textId="77777777" w:rsidR="00EF2C7E" w:rsidRDefault="00E92E8F">
      <w:pPr>
        <w:pStyle w:val="Heading1"/>
        <w:ind w:right="494"/>
      </w:pPr>
      <w:r>
        <w:t>Commercial/Industrial Sector: Advanced thermostats, low-flow faucets, and low-flow showerheads</w:t>
      </w:r>
    </w:p>
    <w:p w14:paraId="7BB91DE5" w14:textId="77777777" w:rsidR="00EF2C7E" w:rsidRDefault="00E92E8F">
      <w:pPr>
        <w:pStyle w:val="ListParagraph"/>
        <w:numPr>
          <w:ilvl w:val="0"/>
          <w:numId w:val="3"/>
        </w:numPr>
        <w:tabs>
          <w:tab w:val="left" w:pos="819"/>
          <w:tab w:val="left" w:pos="820"/>
        </w:tabs>
        <w:spacing w:line="301" w:lineRule="exact"/>
        <w:ind w:left="819" w:right="0"/>
        <w:rPr>
          <w:rFonts w:ascii="Symbol" w:hAnsi="Symbol"/>
          <w:sz w:val="24"/>
        </w:rPr>
      </w:pPr>
      <w:r>
        <w:rPr>
          <w:sz w:val="24"/>
        </w:rPr>
        <w:t>[Same questions as for the same residential</w:t>
      </w:r>
      <w:r>
        <w:rPr>
          <w:spacing w:val="-12"/>
          <w:sz w:val="24"/>
        </w:rPr>
        <w:t xml:space="preserve"> </w:t>
      </w:r>
      <w:r>
        <w:rPr>
          <w:sz w:val="24"/>
        </w:rPr>
        <w:t>measures]</w:t>
      </w:r>
    </w:p>
    <w:p w14:paraId="07BCDA3F" w14:textId="77777777" w:rsidR="00EF2C7E" w:rsidRDefault="00EF2C7E">
      <w:pPr>
        <w:spacing w:line="301" w:lineRule="exact"/>
        <w:rPr>
          <w:rFonts w:ascii="Symbol" w:hAnsi="Symbol"/>
          <w:sz w:val="24"/>
        </w:rPr>
        <w:sectPr w:rsidR="00EF2C7E">
          <w:pgSz w:w="11900" w:h="16840"/>
          <w:pgMar w:top="1480" w:right="1300" w:bottom="880" w:left="1340" w:header="0" w:footer="698" w:gutter="0"/>
          <w:cols w:space="720"/>
        </w:sectPr>
      </w:pPr>
    </w:p>
    <w:p w14:paraId="730D66B2" w14:textId="77777777" w:rsidR="00EF2C7E" w:rsidRDefault="00EF2C7E">
      <w:pPr>
        <w:pStyle w:val="BodyText"/>
        <w:spacing w:before="2"/>
        <w:rPr>
          <w:sz w:val="19"/>
        </w:rPr>
      </w:pPr>
    </w:p>
    <w:p w14:paraId="6429A343" w14:textId="77777777" w:rsidR="00EF2C7E" w:rsidRDefault="00E92E8F">
      <w:pPr>
        <w:pStyle w:val="BodyText"/>
        <w:spacing w:before="100"/>
        <w:ind w:left="820"/>
      </w:pPr>
      <w:r>
        <w:rPr>
          <w:color w:val="FF0000"/>
        </w:rPr>
        <w:t>TAG: OK.</w:t>
      </w:r>
    </w:p>
    <w:p w14:paraId="2C69310F" w14:textId="77777777" w:rsidR="00EF2C7E" w:rsidRDefault="00EF2C7E">
      <w:pPr>
        <w:pStyle w:val="BodyText"/>
        <w:spacing w:before="2"/>
        <w:rPr>
          <w:sz w:val="36"/>
        </w:rPr>
      </w:pPr>
    </w:p>
    <w:p w14:paraId="5A8BDF9E" w14:textId="77777777" w:rsidR="00EF2C7E" w:rsidRDefault="00E92E8F">
      <w:pPr>
        <w:pStyle w:val="Heading1"/>
      </w:pPr>
      <w:r>
        <w:t>General</w:t>
      </w:r>
    </w:p>
    <w:p w14:paraId="430EA211" w14:textId="77777777" w:rsidR="00EF2C7E" w:rsidRDefault="00E92E8F">
      <w:pPr>
        <w:pStyle w:val="BodyText"/>
        <w:spacing w:before="4"/>
        <w:ind w:left="100" w:right="187"/>
        <w:jc w:val="both"/>
      </w:pPr>
      <w:r>
        <w:t xml:space="preserve">Thank you for this opportunity to weigh in on measure characterizations. We encourage OD to take full advantage of </w:t>
      </w:r>
      <w:proofErr w:type="gramStart"/>
      <w:r>
        <w:t>the TAG’s</w:t>
      </w:r>
      <w:proofErr w:type="gramEnd"/>
      <w:r>
        <w:t xml:space="preserve"> expertise in these matters, as it continues to develop and refine its analyses. We hope that on Thursday OD will identify any matters that it would like the TAG to dig into now and provide more immediate input on (rather than waiting until a complete draft of the TRM is made available).</w:t>
      </w:r>
    </w:p>
    <w:p w14:paraId="236C2EB5" w14:textId="77777777" w:rsidR="00EF2C7E" w:rsidRDefault="00EF2C7E">
      <w:pPr>
        <w:pStyle w:val="BodyText"/>
        <w:spacing w:before="7"/>
      </w:pPr>
    </w:p>
    <w:p w14:paraId="0848A901" w14:textId="77777777" w:rsidR="00EF2C7E" w:rsidRDefault="00E92E8F">
      <w:pPr>
        <w:pStyle w:val="BodyText"/>
        <w:ind w:left="100" w:right="183"/>
      </w:pPr>
      <w:r>
        <w:rPr>
          <w:color w:val="265EAC"/>
        </w:rPr>
        <w:t>Thank you. We have provided a specific list of questions below we would like the TAG’s input on at this time:</w:t>
      </w:r>
    </w:p>
    <w:p w14:paraId="66883745" w14:textId="77777777" w:rsidR="00EF2C7E" w:rsidRDefault="00EF2C7E">
      <w:pPr>
        <w:pStyle w:val="BodyText"/>
        <w:spacing w:before="6"/>
      </w:pPr>
    </w:p>
    <w:p w14:paraId="12BD3CD8" w14:textId="77777777" w:rsidR="00EF2C7E" w:rsidRDefault="00E92E8F">
      <w:pPr>
        <w:pStyle w:val="ListParagraph"/>
        <w:numPr>
          <w:ilvl w:val="0"/>
          <w:numId w:val="2"/>
        </w:numPr>
        <w:tabs>
          <w:tab w:val="left" w:pos="461"/>
        </w:tabs>
        <w:ind w:right="0" w:hanging="361"/>
        <w:jc w:val="both"/>
        <w:rPr>
          <w:sz w:val="24"/>
        </w:rPr>
      </w:pPr>
      <w:r>
        <w:rPr>
          <w:color w:val="265EAC"/>
          <w:sz w:val="24"/>
        </w:rPr>
        <w:t>What approach should we use for heating fuel inputs? We have listed several options</w:t>
      </w:r>
      <w:r>
        <w:rPr>
          <w:color w:val="265EAC"/>
          <w:spacing w:val="-12"/>
          <w:sz w:val="24"/>
        </w:rPr>
        <w:t xml:space="preserve"> </w:t>
      </w:r>
      <w:r>
        <w:rPr>
          <w:color w:val="265EAC"/>
          <w:sz w:val="24"/>
        </w:rPr>
        <w:t>below.</w:t>
      </w:r>
    </w:p>
    <w:p w14:paraId="00D3D7BB" w14:textId="77777777" w:rsidR="00EF2C7E" w:rsidRDefault="00E92E8F">
      <w:pPr>
        <w:pStyle w:val="ListParagraph"/>
        <w:numPr>
          <w:ilvl w:val="1"/>
          <w:numId w:val="2"/>
        </w:numPr>
        <w:tabs>
          <w:tab w:val="left" w:pos="1181"/>
        </w:tabs>
        <w:spacing w:before="4"/>
        <w:jc w:val="both"/>
        <w:rPr>
          <w:sz w:val="24"/>
        </w:rPr>
      </w:pPr>
      <w:r>
        <w:rPr>
          <w:color w:val="265EAC"/>
          <w:sz w:val="24"/>
        </w:rPr>
        <w:t>Continue with our current approach: write the characterizations to allow for either approach (average mix or site-specific</w:t>
      </w:r>
      <w:r>
        <w:rPr>
          <w:color w:val="265EAC"/>
          <w:spacing w:val="-2"/>
          <w:sz w:val="24"/>
        </w:rPr>
        <w:t xml:space="preserve"> </w:t>
      </w:r>
      <w:r>
        <w:rPr>
          <w:color w:val="265EAC"/>
          <w:sz w:val="24"/>
        </w:rPr>
        <w:t>input).</w:t>
      </w:r>
    </w:p>
    <w:p w14:paraId="5A07C952" w14:textId="77777777" w:rsidR="00EF2C7E" w:rsidRDefault="00E92E8F">
      <w:pPr>
        <w:pStyle w:val="ListParagraph"/>
        <w:numPr>
          <w:ilvl w:val="1"/>
          <w:numId w:val="2"/>
        </w:numPr>
        <w:tabs>
          <w:tab w:val="left" w:pos="1181"/>
        </w:tabs>
        <w:spacing w:before="2"/>
        <w:jc w:val="both"/>
        <w:rPr>
          <w:sz w:val="24"/>
        </w:rPr>
      </w:pPr>
      <w:r>
        <w:rPr>
          <w:color w:val="265EAC"/>
          <w:sz w:val="24"/>
        </w:rPr>
        <w:t>Devise an average fuel mix for all Residential measures, and one for all Commercial/Industrial measures. Write the characterizations to only use average</w:t>
      </w:r>
      <w:r>
        <w:rPr>
          <w:color w:val="265EAC"/>
          <w:spacing w:val="-30"/>
          <w:sz w:val="24"/>
        </w:rPr>
        <w:t xml:space="preserve"> </w:t>
      </w:r>
      <w:r>
        <w:rPr>
          <w:color w:val="265EAC"/>
          <w:sz w:val="24"/>
        </w:rPr>
        <w:t>fuel mixes.</w:t>
      </w:r>
    </w:p>
    <w:p w14:paraId="77C324F4" w14:textId="77777777" w:rsidR="00EF2C7E" w:rsidRDefault="00E92E8F">
      <w:pPr>
        <w:pStyle w:val="ListParagraph"/>
        <w:numPr>
          <w:ilvl w:val="1"/>
          <w:numId w:val="2"/>
        </w:numPr>
        <w:tabs>
          <w:tab w:val="left" w:pos="1181"/>
        </w:tabs>
        <w:spacing w:before="1"/>
        <w:ind w:right="0" w:hanging="361"/>
        <w:jc w:val="both"/>
        <w:rPr>
          <w:sz w:val="24"/>
        </w:rPr>
      </w:pPr>
      <w:r>
        <w:rPr>
          <w:color w:val="265EAC"/>
          <w:sz w:val="24"/>
        </w:rPr>
        <w:t>Write all characterizations to require the baseline fuel type to be</w:t>
      </w:r>
      <w:r>
        <w:rPr>
          <w:color w:val="265EAC"/>
          <w:spacing w:val="-4"/>
          <w:sz w:val="24"/>
        </w:rPr>
        <w:t xml:space="preserve"> </w:t>
      </w:r>
      <w:r>
        <w:rPr>
          <w:color w:val="265EAC"/>
          <w:sz w:val="24"/>
        </w:rPr>
        <w:t>collected.</w:t>
      </w:r>
    </w:p>
    <w:p w14:paraId="146DABF7" w14:textId="77777777" w:rsidR="00EF2C7E" w:rsidRDefault="00E92E8F">
      <w:pPr>
        <w:pStyle w:val="ListParagraph"/>
        <w:numPr>
          <w:ilvl w:val="1"/>
          <w:numId w:val="2"/>
        </w:numPr>
        <w:tabs>
          <w:tab w:val="left" w:pos="1181"/>
        </w:tabs>
        <w:spacing w:before="4"/>
        <w:rPr>
          <w:sz w:val="24"/>
        </w:rPr>
      </w:pPr>
      <w:r>
        <w:rPr>
          <w:color w:val="265EAC"/>
          <w:sz w:val="24"/>
        </w:rPr>
        <w:t>Require the fuel type to be collected only for measures involving fuel switching. All other measures would assume average fuel</w:t>
      </w:r>
      <w:r>
        <w:rPr>
          <w:color w:val="265EAC"/>
          <w:spacing w:val="-3"/>
          <w:sz w:val="24"/>
        </w:rPr>
        <w:t xml:space="preserve"> </w:t>
      </w:r>
      <w:r>
        <w:rPr>
          <w:color w:val="265EAC"/>
          <w:sz w:val="24"/>
        </w:rPr>
        <w:t>mixes.</w:t>
      </w:r>
    </w:p>
    <w:p w14:paraId="4E6AD801" w14:textId="77777777" w:rsidR="00EF2C7E" w:rsidRDefault="00E92E8F">
      <w:pPr>
        <w:pStyle w:val="ListParagraph"/>
        <w:numPr>
          <w:ilvl w:val="1"/>
          <w:numId w:val="2"/>
        </w:numPr>
        <w:tabs>
          <w:tab w:val="left" w:pos="1180"/>
          <w:tab w:val="left" w:pos="1181"/>
        </w:tabs>
        <w:spacing w:before="2"/>
        <w:rPr>
          <w:sz w:val="24"/>
        </w:rPr>
      </w:pPr>
      <w:r>
        <w:rPr>
          <w:color w:val="265EAC"/>
          <w:sz w:val="24"/>
        </w:rPr>
        <w:t>Require the fuel type to be collected only for the highest impact measures; for example, the top 25% of savers as identified in the clean heat potential</w:t>
      </w:r>
      <w:r>
        <w:rPr>
          <w:color w:val="265EAC"/>
          <w:spacing w:val="-10"/>
          <w:sz w:val="24"/>
        </w:rPr>
        <w:t xml:space="preserve"> </w:t>
      </w:r>
      <w:r>
        <w:rPr>
          <w:color w:val="265EAC"/>
          <w:sz w:val="24"/>
        </w:rPr>
        <w:t>study.</w:t>
      </w:r>
    </w:p>
    <w:p w14:paraId="73ED7DD2" w14:textId="77777777" w:rsidR="00EF2C7E" w:rsidRDefault="00E92E8F">
      <w:pPr>
        <w:pStyle w:val="ListParagraph"/>
        <w:numPr>
          <w:ilvl w:val="1"/>
          <w:numId w:val="2"/>
        </w:numPr>
        <w:tabs>
          <w:tab w:val="left" w:pos="1180"/>
          <w:tab w:val="left" w:pos="1181"/>
        </w:tabs>
        <w:spacing w:before="7"/>
        <w:ind w:right="0" w:hanging="361"/>
        <w:rPr>
          <w:sz w:val="24"/>
        </w:rPr>
      </w:pPr>
      <w:r>
        <w:rPr>
          <w:color w:val="265EAC"/>
          <w:sz w:val="24"/>
        </w:rPr>
        <w:t>Other (please</w:t>
      </w:r>
      <w:r>
        <w:rPr>
          <w:color w:val="265EAC"/>
          <w:spacing w:val="-1"/>
          <w:sz w:val="24"/>
        </w:rPr>
        <w:t xml:space="preserve"> </w:t>
      </w:r>
      <w:r>
        <w:rPr>
          <w:color w:val="265EAC"/>
          <w:sz w:val="24"/>
        </w:rPr>
        <w:t>describe).</w:t>
      </w:r>
    </w:p>
    <w:p w14:paraId="7900CADC" w14:textId="77777777" w:rsidR="00EF2C7E" w:rsidRDefault="00EF2C7E">
      <w:pPr>
        <w:pStyle w:val="BodyText"/>
        <w:spacing w:before="3"/>
      </w:pPr>
    </w:p>
    <w:p w14:paraId="2E735794" w14:textId="77777777" w:rsidR="00EF2C7E" w:rsidRDefault="00E92E8F">
      <w:pPr>
        <w:pStyle w:val="BodyText"/>
        <w:ind w:left="680" w:right="187"/>
        <w:jc w:val="both"/>
        <w:rPr>
          <w:color w:val="FF0000"/>
        </w:rPr>
      </w:pPr>
      <w:r>
        <w:rPr>
          <w:color w:val="FF0000"/>
        </w:rPr>
        <w:t xml:space="preserve">TAG: The approach described in sub-bullet “a” provides the most flexibility for obligated </w:t>
      </w:r>
      <w:proofErr w:type="gramStart"/>
      <w:r>
        <w:rPr>
          <w:color w:val="FF0000"/>
        </w:rPr>
        <w:t>parties, but</w:t>
      </w:r>
      <w:proofErr w:type="gramEnd"/>
      <w:r>
        <w:rPr>
          <w:color w:val="FF0000"/>
        </w:rPr>
        <w:t xml:space="preserve"> presents challenges. Refer to our response to the first bullet (under “Building Envelope Measures”) for details.</w:t>
      </w:r>
    </w:p>
    <w:p w14:paraId="2C89DC8C" w14:textId="77777777" w:rsidR="00E92E8F" w:rsidRDefault="00E92E8F">
      <w:pPr>
        <w:pStyle w:val="BodyText"/>
        <w:ind w:left="680" w:right="187"/>
        <w:jc w:val="both"/>
        <w:rPr>
          <w:color w:val="FF0000"/>
        </w:rPr>
      </w:pPr>
    </w:p>
    <w:p w14:paraId="5C464AB8" w14:textId="6DD22ED7" w:rsidR="00E92E8F" w:rsidRPr="00E92E8F" w:rsidRDefault="00E92E8F">
      <w:pPr>
        <w:pStyle w:val="BodyText"/>
        <w:ind w:left="680" w:right="187"/>
        <w:jc w:val="both"/>
        <w:rPr>
          <w:color w:val="4F6228" w:themeColor="accent3" w:themeShade="80"/>
        </w:rPr>
      </w:pPr>
      <w:r w:rsidRPr="00E92E8F">
        <w:rPr>
          <w:color w:val="4F6228" w:themeColor="accent3" w:themeShade="80"/>
        </w:rPr>
        <w:t>Thank you, we will continue with this approach.</w:t>
      </w:r>
    </w:p>
    <w:p w14:paraId="19F393C6" w14:textId="77777777" w:rsidR="00EF2C7E" w:rsidRDefault="00EF2C7E">
      <w:pPr>
        <w:pStyle w:val="BodyText"/>
        <w:spacing w:before="9"/>
      </w:pPr>
    </w:p>
    <w:p w14:paraId="3078BF97" w14:textId="77777777" w:rsidR="00EF2C7E" w:rsidRDefault="00E92E8F">
      <w:pPr>
        <w:pStyle w:val="ListParagraph"/>
        <w:numPr>
          <w:ilvl w:val="0"/>
          <w:numId w:val="2"/>
        </w:numPr>
        <w:tabs>
          <w:tab w:val="left" w:pos="461"/>
        </w:tabs>
        <w:rPr>
          <w:sz w:val="24"/>
        </w:rPr>
      </w:pPr>
      <w:r>
        <w:rPr>
          <w:color w:val="265EAC"/>
          <w:sz w:val="24"/>
        </w:rPr>
        <w:t>Please review the accompanying Decarbonization Summary Table example and advise whether changes are</w:t>
      </w:r>
      <w:r>
        <w:rPr>
          <w:color w:val="265EAC"/>
          <w:spacing w:val="-2"/>
          <w:sz w:val="24"/>
        </w:rPr>
        <w:t xml:space="preserve"> </w:t>
      </w:r>
      <w:r>
        <w:rPr>
          <w:color w:val="265EAC"/>
          <w:sz w:val="24"/>
        </w:rPr>
        <w:t>needed.</w:t>
      </w:r>
    </w:p>
    <w:p w14:paraId="235AC139" w14:textId="77777777" w:rsidR="00EF2C7E" w:rsidRDefault="00EF2C7E">
      <w:pPr>
        <w:pStyle w:val="BodyText"/>
        <w:spacing w:before="6"/>
      </w:pPr>
    </w:p>
    <w:p w14:paraId="6BB3787A" w14:textId="77777777" w:rsidR="00EF2C7E" w:rsidRDefault="00E92E8F">
      <w:pPr>
        <w:pStyle w:val="BodyText"/>
        <w:ind w:left="500" w:right="183"/>
      </w:pPr>
      <w:r>
        <w:rPr>
          <w:color w:val="FF0000"/>
        </w:rPr>
        <w:t xml:space="preserve">TAG: The Decarbonization Summary Table generated a lively discussion among the TAG. </w:t>
      </w:r>
      <w:proofErr w:type="gramStart"/>
      <w:r>
        <w:rPr>
          <w:color w:val="FF0000"/>
        </w:rPr>
        <w:t>A number of</w:t>
      </w:r>
      <w:proofErr w:type="gramEnd"/>
      <w:r>
        <w:rPr>
          <w:color w:val="FF0000"/>
        </w:rPr>
        <w:t xml:space="preserve"> points were raised and some warrant further discussion.</w:t>
      </w:r>
    </w:p>
    <w:p w14:paraId="5F21D92E" w14:textId="77777777" w:rsidR="00EF2C7E" w:rsidRDefault="00EF2C7E">
      <w:pPr>
        <w:pStyle w:val="BodyText"/>
        <w:spacing w:before="5"/>
      </w:pPr>
    </w:p>
    <w:p w14:paraId="3095931A" w14:textId="77777777" w:rsidR="00EF2C7E" w:rsidRDefault="00E92E8F">
      <w:pPr>
        <w:pStyle w:val="ListParagraph"/>
        <w:numPr>
          <w:ilvl w:val="0"/>
          <w:numId w:val="1"/>
        </w:numPr>
        <w:tabs>
          <w:tab w:val="left" w:pos="965"/>
        </w:tabs>
        <w:jc w:val="both"/>
        <w:rPr>
          <w:sz w:val="24"/>
        </w:rPr>
      </w:pPr>
      <w:r>
        <w:rPr>
          <w:color w:val="FF0000"/>
          <w:sz w:val="24"/>
        </w:rPr>
        <w:t>Some</w:t>
      </w:r>
      <w:r>
        <w:rPr>
          <w:color w:val="FF0000"/>
          <w:spacing w:val="-13"/>
          <w:sz w:val="24"/>
        </w:rPr>
        <w:t xml:space="preserve"> </w:t>
      </w:r>
      <w:r>
        <w:rPr>
          <w:color w:val="FF0000"/>
          <w:sz w:val="24"/>
        </w:rPr>
        <w:t>TAG</w:t>
      </w:r>
      <w:r>
        <w:rPr>
          <w:color w:val="FF0000"/>
          <w:spacing w:val="-13"/>
          <w:sz w:val="24"/>
        </w:rPr>
        <w:t xml:space="preserve"> </w:t>
      </w:r>
      <w:r>
        <w:rPr>
          <w:color w:val="FF0000"/>
          <w:sz w:val="24"/>
        </w:rPr>
        <w:t>members</w:t>
      </w:r>
      <w:r>
        <w:rPr>
          <w:color w:val="FF0000"/>
          <w:spacing w:val="-13"/>
          <w:sz w:val="24"/>
        </w:rPr>
        <w:t xml:space="preserve"> </w:t>
      </w:r>
      <w:r>
        <w:rPr>
          <w:color w:val="FF0000"/>
          <w:sz w:val="24"/>
        </w:rPr>
        <w:t>felt</w:t>
      </w:r>
      <w:r>
        <w:rPr>
          <w:color w:val="FF0000"/>
          <w:spacing w:val="-12"/>
          <w:sz w:val="24"/>
        </w:rPr>
        <w:t xml:space="preserve"> </w:t>
      </w:r>
      <w:r>
        <w:rPr>
          <w:color w:val="FF0000"/>
          <w:sz w:val="24"/>
        </w:rPr>
        <w:t>whatever</w:t>
      </w:r>
      <w:r>
        <w:rPr>
          <w:color w:val="FF0000"/>
          <w:spacing w:val="-13"/>
          <w:sz w:val="24"/>
        </w:rPr>
        <w:t xml:space="preserve"> </w:t>
      </w:r>
      <w:r>
        <w:rPr>
          <w:color w:val="FF0000"/>
          <w:sz w:val="24"/>
        </w:rPr>
        <w:t>approach</w:t>
      </w:r>
      <w:r>
        <w:rPr>
          <w:color w:val="FF0000"/>
          <w:spacing w:val="-13"/>
          <w:sz w:val="24"/>
        </w:rPr>
        <w:t xml:space="preserve"> </w:t>
      </w:r>
      <w:r>
        <w:rPr>
          <w:color w:val="FF0000"/>
          <w:sz w:val="24"/>
        </w:rPr>
        <w:t>is</w:t>
      </w:r>
      <w:r>
        <w:rPr>
          <w:color w:val="FF0000"/>
          <w:spacing w:val="-13"/>
          <w:sz w:val="24"/>
        </w:rPr>
        <w:t xml:space="preserve"> </w:t>
      </w:r>
      <w:r>
        <w:rPr>
          <w:color w:val="FF0000"/>
          <w:sz w:val="24"/>
        </w:rPr>
        <w:t>used,</w:t>
      </w:r>
      <w:r>
        <w:rPr>
          <w:color w:val="FF0000"/>
          <w:spacing w:val="-12"/>
          <w:sz w:val="24"/>
        </w:rPr>
        <w:t xml:space="preserve"> </w:t>
      </w:r>
      <w:r>
        <w:rPr>
          <w:color w:val="FF0000"/>
          <w:sz w:val="24"/>
        </w:rPr>
        <w:t>it</w:t>
      </w:r>
      <w:r>
        <w:rPr>
          <w:color w:val="FF0000"/>
          <w:spacing w:val="-13"/>
          <w:sz w:val="24"/>
        </w:rPr>
        <w:t xml:space="preserve"> </w:t>
      </w:r>
      <w:r>
        <w:rPr>
          <w:color w:val="FF0000"/>
          <w:sz w:val="24"/>
        </w:rPr>
        <w:t>should</w:t>
      </w:r>
      <w:r>
        <w:rPr>
          <w:color w:val="FF0000"/>
          <w:spacing w:val="-13"/>
          <w:sz w:val="24"/>
        </w:rPr>
        <w:t xml:space="preserve"> </w:t>
      </w:r>
      <w:r>
        <w:rPr>
          <w:color w:val="FF0000"/>
          <w:sz w:val="24"/>
        </w:rPr>
        <w:t>provide</w:t>
      </w:r>
      <w:r>
        <w:rPr>
          <w:color w:val="FF0000"/>
          <w:spacing w:val="-13"/>
          <w:sz w:val="24"/>
        </w:rPr>
        <w:t xml:space="preserve"> </w:t>
      </w:r>
      <w:r>
        <w:rPr>
          <w:color w:val="FF0000"/>
          <w:sz w:val="24"/>
        </w:rPr>
        <w:t>as</w:t>
      </w:r>
      <w:r>
        <w:rPr>
          <w:color w:val="FF0000"/>
          <w:spacing w:val="-12"/>
          <w:sz w:val="24"/>
        </w:rPr>
        <w:t xml:space="preserve"> </w:t>
      </w:r>
      <w:r>
        <w:rPr>
          <w:color w:val="FF0000"/>
          <w:sz w:val="24"/>
        </w:rPr>
        <w:t>much</w:t>
      </w:r>
      <w:r>
        <w:rPr>
          <w:color w:val="FF0000"/>
          <w:spacing w:val="-13"/>
          <w:sz w:val="24"/>
        </w:rPr>
        <w:t xml:space="preserve"> </w:t>
      </w:r>
      <w:r>
        <w:rPr>
          <w:color w:val="FF0000"/>
          <w:sz w:val="24"/>
        </w:rPr>
        <w:t>certainty to</w:t>
      </w:r>
      <w:r>
        <w:rPr>
          <w:color w:val="FF0000"/>
          <w:spacing w:val="-16"/>
          <w:sz w:val="24"/>
        </w:rPr>
        <w:t xml:space="preserve"> </w:t>
      </w:r>
      <w:r>
        <w:rPr>
          <w:color w:val="FF0000"/>
          <w:sz w:val="24"/>
        </w:rPr>
        <w:t>the</w:t>
      </w:r>
      <w:r>
        <w:rPr>
          <w:color w:val="FF0000"/>
          <w:spacing w:val="-16"/>
          <w:sz w:val="24"/>
        </w:rPr>
        <w:t xml:space="preserve"> </w:t>
      </w:r>
      <w:r>
        <w:rPr>
          <w:color w:val="FF0000"/>
          <w:sz w:val="24"/>
        </w:rPr>
        <w:t>credit</w:t>
      </w:r>
      <w:r>
        <w:rPr>
          <w:color w:val="FF0000"/>
          <w:spacing w:val="-16"/>
          <w:sz w:val="24"/>
        </w:rPr>
        <w:t xml:space="preserve"> </w:t>
      </w:r>
      <w:r>
        <w:rPr>
          <w:color w:val="FF0000"/>
          <w:sz w:val="24"/>
        </w:rPr>
        <w:t>owner</w:t>
      </w:r>
      <w:r>
        <w:rPr>
          <w:color w:val="FF0000"/>
          <w:spacing w:val="-15"/>
          <w:sz w:val="24"/>
        </w:rPr>
        <w:t xml:space="preserve"> </w:t>
      </w:r>
      <w:r>
        <w:rPr>
          <w:color w:val="FF0000"/>
          <w:sz w:val="24"/>
        </w:rPr>
        <w:t>as</w:t>
      </w:r>
      <w:r>
        <w:rPr>
          <w:color w:val="FF0000"/>
          <w:spacing w:val="-16"/>
          <w:sz w:val="24"/>
        </w:rPr>
        <w:t xml:space="preserve"> </w:t>
      </w:r>
      <w:r>
        <w:rPr>
          <w:color w:val="FF0000"/>
          <w:sz w:val="24"/>
        </w:rPr>
        <w:t>possible.</w:t>
      </w:r>
      <w:r>
        <w:rPr>
          <w:color w:val="FF0000"/>
          <w:spacing w:val="-16"/>
          <w:sz w:val="24"/>
        </w:rPr>
        <w:t xml:space="preserve"> </w:t>
      </w:r>
      <w:r>
        <w:rPr>
          <w:color w:val="FF0000"/>
          <w:sz w:val="24"/>
        </w:rPr>
        <w:t>Others</w:t>
      </w:r>
      <w:r>
        <w:rPr>
          <w:color w:val="FF0000"/>
          <w:spacing w:val="-16"/>
          <w:sz w:val="24"/>
        </w:rPr>
        <w:t xml:space="preserve"> </w:t>
      </w:r>
      <w:r>
        <w:rPr>
          <w:color w:val="FF0000"/>
          <w:sz w:val="24"/>
        </w:rPr>
        <w:t>felt</w:t>
      </w:r>
      <w:r>
        <w:rPr>
          <w:color w:val="FF0000"/>
          <w:spacing w:val="-15"/>
          <w:sz w:val="24"/>
        </w:rPr>
        <w:t xml:space="preserve"> </w:t>
      </w:r>
      <w:r>
        <w:rPr>
          <w:color w:val="FF0000"/>
          <w:sz w:val="24"/>
        </w:rPr>
        <w:t>that</w:t>
      </w:r>
      <w:r>
        <w:rPr>
          <w:color w:val="FF0000"/>
          <w:spacing w:val="-16"/>
          <w:sz w:val="24"/>
        </w:rPr>
        <w:t xml:space="preserve"> </w:t>
      </w:r>
      <w:r>
        <w:rPr>
          <w:color w:val="FF0000"/>
          <w:sz w:val="24"/>
        </w:rPr>
        <w:t>emissions</w:t>
      </w:r>
      <w:r>
        <w:rPr>
          <w:color w:val="FF0000"/>
          <w:spacing w:val="-16"/>
          <w:sz w:val="24"/>
        </w:rPr>
        <w:t xml:space="preserve"> </w:t>
      </w:r>
      <w:r>
        <w:rPr>
          <w:color w:val="FF0000"/>
          <w:sz w:val="24"/>
        </w:rPr>
        <w:t>reductions</w:t>
      </w:r>
      <w:r>
        <w:rPr>
          <w:color w:val="FF0000"/>
          <w:spacing w:val="-16"/>
          <w:sz w:val="24"/>
        </w:rPr>
        <w:t xml:space="preserve"> </w:t>
      </w:r>
      <w:r>
        <w:rPr>
          <w:color w:val="FF0000"/>
          <w:sz w:val="24"/>
        </w:rPr>
        <w:t>should</w:t>
      </w:r>
      <w:r>
        <w:rPr>
          <w:color w:val="FF0000"/>
          <w:spacing w:val="-15"/>
          <w:sz w:val="24"/>
        </w:rPr>
        <w:t xml:space="preserve"> </w:t>
      </w:r>
      <w:r>
        <w:rPr>
          <w:color w:val="FF0000"/>
          <w:sz w:val="24"/>
        </w:rPr>
        <w:t>reflect</w:t>
      </w:r>
      <w:r>
        <w:rPr>
          <w:color w:val="FF0000"/>
          <w:spacing w:val="-16"/>
          <w:sz w:val="24"/>
        </w:rPr>
        <w:t xml:space="preserve"> </w:t>
      </w:r>
      <w:r>
        <w:rPr>
          <w:color w:val="FF0000"/>
          <w:sz w:val="24"/>
        </w:rPr>
        <w:t>actual performance of installed measures to the extent</w:t>
      </w:r>
      <w:r>
        <w:rPr>
          <w:color w:val="FF0000"/>
          <w:spacing w:val="-3"/>
          <w:sz w:val="24"/>
        </w:rPr>
        <w:t xml:space="preserve"> </w:t>
      </w:r>
      <w:r>
        <w:rPr>
          <w:color w:val="FF0000"/>
          <w:sz w:val="24"/>
        </w:rPr>
        <w:t>possible.</w:t>
      </w:r>
    </w:p>
    <w:p w14:paraId="75391AAB" w14:textId="77777777" w:rsidR="00EF2C7E" w:rsidRDefault="00E92E8F">
      <w:pPr>
        <w:pStyle w:val="ListParagraph"/>
        <w:numPr>
          <w:ilvl w:val="0"/>
          <w:numId w:val="1"/>
        </w:numPr>
        <w:tabs>
          <w:tab w:val="left" w:pos="965"/>
        </w:tabs>
        <w:spacing w:before="1"/>
        <w:jc w:val="both"/>
        <w:rPr>
          <w:sz w:val="24"/>
        </w:rPr>
      </w:pPr>
      <w:r>
        <w:rPr>
          <w:color w:val="FF0000"/>
          <w:sz w:val="24"/>
        </w:rPr>
        <w:t>Act</w:t>
      </w:r>
      <w:r>
        <w:rPr>
          <w:color w:val="FF0000"/>
          <w:spacing w:val="-10"/>
          <w:sz w:val="24"/>
        </w:rPr>
        <w:t xml:space="preserve"> </w:t>
      </w:r>
      <w:r>
        <w:rPr>
          <w:color w:val="FF0000"/>
          <w:sz w:val="24"/>
        </w:rPr>
        <w:t>18</w:t>
      </w:r>
      <w:r>
        <w:rPr>
          <w:color w:val="FF0000"/>
          <w:spacing w:val="-9"/>
          <w:sz w:val="24"/>
        </w:rPr>
        <w:t xml:space="preserve"> </w:t>
      </w:r>
      <w:r>
        <w:rPr>
          <w:color w:val="FF0000"/>
          <w:sz w:val="24"/>
        </w:rPr>
        <w:t>requires</w:t>
      </w:r>
      <w:r>
        <w:rPr>
          <w:color w:val="FF0000"/>
          <w:spacing w:val="-9"/>
          <w:sz w:val="24"/>
        </w:rPr>
        <w:t xml:space="preserve"> </w:t>
      </w:r>
      <w:r>
        <w:rPr>
          <w:color w:val="FF0000"/>
          <w:sz w:val="24"/>
        </w:rPr>
        <w:t>that</w:t>
      </w:r>
      <w:r>
        <w:rPr>
          <w:color w:val="FF0000"/>
          <w:spacing w:val="-9"/>
          <w:sz w:val="24"/>
        </w:rPr>
        <w:t xml:space="preserve"> </w:t>
      </w:r>
      <w:r>
        <w:rPr>
          <w:color w:val="FF0000"/>
          <w:sz w:val="24"/>
        </w:rPr>
        <w:t>clean</w:t>
      </w:r>
      <w:r>
        <w:rPr>
          <w:color w:val="FF0000"/>
          <w:spacing w:val="-9"/>
          <w:sz w:val="24"/>
        </w:rPr>
        <w:t xml:space="preserve"> </w:t>
      </w:r>
      <w:r>
        <w:rPr>
          <w:color w:val="FF0000"/>
          <w:sz w:val="24"/>
        </w:rPr>
        <w:t>heat</w:t>
      </w:r>
      <w:r>
        <w:rPr>
          <w:color w:val="FF0000"/>
          <w:spacing w:val="-9"/>
          <w:sz w:val="24"/>
        </w:rPr>
        <w:t xml:space="preserve"> </w:t>
      </w:r>
      <w:r>
        <w:rPr>
          <w:color w:val="FF0000"/>
          <w:sz w:val="24"/>
        </w:rPr>
        <w:t>measures</w:t>
      </w:r>
      <w:r>
        <w:rPr>
          <w:color w:val="FF0000"/>
          <w:spacing w:val="-9"/>
          <w:sz w:val="24"/>
        </w:rPr>
        <w:t xml:space="preserve"> </w:t>
      </w:r>
      <w:r>
        <w:rPr>
          <w:color w:val="FF0000"/>
          <w:sz w:val="24"/>
        </w:rPr>
        <w:t>be</w:t>
      </w:r>
      <w:r>
        <w:rPr>
          <w:color w:val="FF0000"/>
          <w:spacing w:val="-9"/>
          <w:sz w:val="24"/>
        </w:rPr>
        <w:t xml:space="preserve"> </w:t>
      </w:r>
      <w:r>
        <w:rPr>
          <w:color w:val="FF0000"/>
          <w:sz w:val="24"/>
        </w:rPr>
        <w:t>awarded</w:t>
      </w:r>
      <w:r>
        <w:rPr>
          <w:color w:val="FF0000"/>
          <w:spacing w:val="-9"/>
          <w:sz w:val="24"/>
        </w:rPr>
        <w:t xml:space="preserve"> </w:t>
      </w:r>
      <w:r>
        <w:rPr>
          <w:color w:val="FF0000"/>
          <w:sz w:val="24"/>
        </w:rPr>
        <w:t>annual</w:t>
      </w:r>
      <w:r>
        <w:rPr>
          <w:color w:val="FF0000"/>
          <w:spacing w:val="-9"/>
          <w:sz w:val="24"/>
        </w:rPr>
        <w:t xml:space="preserve"> </w:t>
      </w:r>
      <w:r>
        <w:rPr>
          <w:color w:val="FF0000"/>
          <w:sz w:val="24"/>
        </w:rPr>
        <w:t>savings.</w:t>
      </w:r>
      <w:r>
        <w:rPr>
          <w:color w:val="FF0000"/>
          <w:spacing w:val="-9"/>
          <w:sz w:val="24"/>
        </w:rPr>
        <w:t xml:space="preserve"> </w:t>
      </w:r>
      <w:r>
        <w:rPr>
          <w:color w:val="FF0000"/>
          <w:sz w:val="24"/>
        </w:rPr>
        <w:t>Some</w:t>
      </w:r>
      <w:r>
        <w:rPr>
          <w:color w:val="FF0000"/>
          <w:spacing w:val="-9"/>
          <w:sz w:val="24"/>
        </w:rPr>
        <w:t xml:space="preserve"> </w:t>
      </w:r>
      <w:r>
        <w:rPr>
          <w:color w:val="FF0000"/>
          <w:sz w:val="24"/>
        </w:rPr>
        <w:t>members</w:t>
      </w:r>
      <w:r>
        <w:rPr>
          <w:color w:val="FF0000"/>
          <w:spacing w:val="-9"/>
          <w:sz w:val="24"/>
        </w:rPr>
        <w:t xml:space="preserve"> </w:t>
      </w:r>
      <w:r>
        <w:rPr>
          <w:color w:val="FF0000"/>
          <w:sz w:val="24"/>
        </w:rPr>
        <w:t>feel that</w:t>
      </w:r>
      <w:r>
        <w:rPr>
          <w:color w:val="FF0000"/>
          <w:spacing w:val="-11"/>
          <w:sz w:val="24"/>
        </w:rPr>
        <w:t xml:space="preserve"> </w:t>
      </w:r>
      <w:r>
        <w:rPr>
          <w:color w:val="FF0000"/>
          <w:sz w:val="24"/>
        </w:rPr>
        <w:t>projected</w:t>
      </w:r>
      <w:r>
        <w:rPr>
          <w:color w:val="FF0000"/>
          <w:spacing w:val="-10"/>
          <w:sz w:val="24"/>
        </w:rPr>
        <w:t xml:space="preserve"> </w:t>
      </w:r>
      <w:r>
        <w:rPr>
          <w:color w:val="FF0000"/>
          <w:sz w:val="24"/>
        </w:rPr>
        <w:t>annual</w:t>
      </w:r>
      <w:r>
        <w:rPr>
          <w:color w:val="FF0000"/>
          <w:spacing w:val="-10"/>
          <w:sz w:val="24"/>
        </w:rPr>
        <w:t xml:space="preserve"> </w:t>
      </w:r>
      <w:r>
        <w:rPr>
          <w:color w:val="FF0000"/>
          <w:sz w:val="24"/>
        </w:rPr>
        <w:t>savings</w:t>
      </w:r>
      <w:r>
        <w:rPr>
          <w:color w:val="FF0000"/>
          <w:spacing w:val="-10"/>
          <w:sz w:val="24"/>
        </w:rPr>
        <w:t xml:space="preserve"> </w:t>
      </w:r>
      <w:r>
        <w:rPr>
          <w:color w:val="FF0000"/>
          <w:sz w:val="24"/>
        </w:rPr>
        <w:t>over</w:t>
      </w:r>
      <w:r>
        <w:rPr>
          <w:color w:val="FF0000"/>
          <w:spacing w:val="-10"/>
          <w:sz w:val="24"/>
        </w:rPr>
        <w:t xml:space="preserve"> </w:t>
      </w:r>
      <w:r>
        <w:rPr>
          <w:color w:val="FF0000"/>
          <w:sz w:val="24"/>
        </w:rPr>
        <w:t>the</w:t>
      </w:r>
      <w:r>
        <w:rPr>
          <w:color w:val="FF0000"/>
          <w:spacing w:val="-10"/>
          <w:sz w:val="24"/>
        </w:rPr>
        <w:t xml:space="preserve"> </w:t>
      </w:r>
      <w:r>
        <w:rPr>
          <w:color w:val="FF0000"/>
          <w:sz w:val="24"/>
        </w:rPr>
        <w:t>life</w:t>
      </w:r>
      <w:r>
        <w:rPr>
          <w:color w:val="FF0000"/>
          <w:spacing w:val="-10"/>
          <w:sz w:val="24"/>
        </w:rPr>
        <w:t xml:space="preserve"> </w:t>
      </w:r>
      <w:r>
        <w:rPr>
          <w:color w:val="FF0000"/>
          <w:sz w:val="24"/>
        </w:rPr>
        <w:t>of</w:t>
      </w:r>
      <w:r>
        <w:rPr>
          <w:color w:val="FF0000"/>
          <w:spacing w:val="-10"/>
          <w:sz w:val="24"/>
        </w:rPr>
        <w:t xml:space="preserve"> </w:t>
      </w:r>
      <w:r>
        <w:rPr>
          <w:color w:val="FF0000"/>
          <w:sz w:val="24"/>
        </w:rPr>
        <w:t>the</w:t>
      </w:r>
      <w:r>
        <w:rPr>
          <w:color w:val="FF0000"/>
          <w:spacing w:val="-10"/>
          <w:sz w:val="24"/>
        </w:rPr>
        <w:t xml:space="preserve"> </w:t>
      </w:r>
      <w:r>
        <w:rPr>
          <w:color w:val="FF0000"/>
          <w:sz w:val="24"/>
        </w:rPr>
        <w:t>measure</w:t>
      </w:r>
      <w:r>
        <w:rPr>
          <w:color w:val="FF0000"/>
          <w:spacing w:val="-10"/>
          <w:sz w:val="24"/>
        </w:rPr>
        <w:t xml:space="preserve"> </w:t>
      </w:r>
      <w:r>
        <w:rPr>
          <w:color w:val="FF0000"/>
          <w:sz w:val="24"/>
        </w:rPr>
        <w:t>should</w:t>
      </w:r>
      <w:r>
        <w:rPr>
          <w:color w:val="FF0000"/>
          <w:spacing w:val="-10"/>
          <w:sz w:val="24"/>
        </w:rPr>
        <w:t xml:space="preserve"> </w:t>
      </w:r>
      <w:r>
        <w:rPr>
          <w:color w:val="FF0000"/>
          <w:sz w:val="24"/>
        </w:rPr>
        <w:t>be</w:t>
      </w:r>
      <w:r>
        <w:rPr>
          <w:color w:val="FF0000"/>
          <w:spacing w:val="-10"/>
          <w:sz w:val="24"/>
        </w:rPr>
        <w:t xml:space="preserve"> </w:t>
      </w:r>
      <w:r>
        <w:rPr>
          <w:color w:val="FF0000"/>
          <w:sz w:val="24"/>
        </w:rPr>
        <w:t>calculated</w:t>
      </w:r>
      <w:r>
        <w:rPr>
          <w:color w:val="FF0000"/>
          <w:spacing w:val="-10"/>
          <w:sz w:val="24"/>
        </w:rPr>
        <w:t xml:space="preserve"> </w:t>
      </w:r>
      <w:r>
        <w:rPr>
          <w:color w:val="FF0000"/>
          <w:sz w:val="24"/>
        </w:rPr>
        <w:t>(awarded) for</w:t>
      </w:r>
      <w:r>
        <w:rPr>
          <w:color w:val="FF0000"/>
          <w:spacing w:val="-10"/>
          <w:sz w:val="24"/>
        </w:rPr>
        <w:t xml:space="preserve"> </w:t>
      </w:r>
      <w:r>
        <w:rPr>
          <w:color w:val="FF0000"/>
          <w:sz w:val="24"/>
        </w:rPr>
        <w:t>installed</w:t>
      </w:r>
      <w:r>
        <w:rPr>
          <w:color w:val="FF0000"/>
          <w:spacing w:val="-10"/>
          <w:sz w:val="24"/>
        </w:rPr>
        <w:t xml:space="preserve"> </w:t>
      </w:r>
      <w:r>
        <w:rPr>
          <w:color w:val="FF0000"/>
          <w:sz w:val="24"/>
        </w:rPr>
        <w:t>measures</w:t>
      </w:r>
      <w:r>
        <w:rPr>
          <w:color w:val="FF0000"/>
          <w:spacing w:val="-10"/>
          <w:sz w:val="24"/>
        </w:rPr>
        <w:t xml:space="preserve"> </w:t>
      </w:r>
      <w:r>
        <w:rPr>
          <w:color w:val="FF0000"/>
          <w:sz w:val="24"/>
        </w:rPr>
        <w:t>at</w:t>
      </w:r>
      <w:r>
        <w:rPr>
          <w:color w:val="FF0000"/>
          <w:spacing w:val="-10"/>
          <w:sz w:val="24"/>
        </w:rPr>
        <w:t xml:space="preserve"> </w:t>
      </w:r>
      <w:r>
        <w:rPr>
          <w:color w:val="FF0000"/>
          <w:sz w:val="24"/>
        </w:rPr>
        <w:t>the</w:t>
      </w:r>
      <w:r>
        <w:rPr>
          <w:color w:val="FF0000"/>
          <w:spacing w:val="-10"/>
          <w:sz w:val="24"/>
        </w:rPr>
        <w:t xml:space="preserve"> </w:t>
      </w:r>
      <w:r>
        <w:rPr>
          <w:color w:val="FF0000"/>
          <w:sz w:val="24"/>
        </w:rPr>
        <w:t>time</w:t>
      </w:r>
      <w:r>
        <w:rPr>
          <w:color w:val="FF0000"/>
          <w:spacing w:val="-9"/>
          <w:sz w:val="24"/>
        </w:rPr>
        <w:t xml:space="preserve"> </w:t>
      </w:r>
      <w:r>
        <w:rPr>
          <w:color w:val="FF0000"/>
          <w:sz w:val="24"/>
        </w:rPr>
        <w:t>of</w:t>
      </w:r>
      <w:r>
        <w:rPr>
          <w:color w:val="FF0000"/>
          <w:spacing w:val="-10"/>
          <w:sz w:val="24"/>
        </w:rPr>
        <w:t xml:space="preserve"> </w:t>
      </w:r>
      <w:r>
        <w:rPr>
          <w:color w:val="FF0000"/>
          <w:sz w:val="24"/>
        </w:rPr>
        <w:t>installation.</w:t>
      </w:r>
      <w:r>
        <w:rPr>
          <w:color w:val="FF0000"/>
          <w:spacing w:val="-10"/>
          <w:sz w:val="24"/>
        </w:rPr>
        <w:t xml:space="preserve"> </w:t>
      </w:r>
      <w:r>
        <w:rPr>
          <w:color w:val="FF0000"/>
          <w:sz w:val="24"/>
        </w:rPr>
        <w:t>This</w:t>
      </w:r>
      <w:r>
        <w:rPr>
          <w:color w:val="FF0000"/>
          <w:spacing w:val="-10"/>
          <w:sz w:val="24"/>
        </w:rPr>
        <w:t xml:space="preserve"> </w:t>
      </w:r>
      <w:r>
        <w:rPr>
          <w:color w:val="FF0000"/>
          <w:sz w:val="24"/>
        </w:rPr>
        <w:t>provides</w:t>
      </w:r>
      <w:r>
        <w:rPr>
          <w:color w:val="FF0000"/>
          <w:spacing w:val="-10"/>
          <w:sz w:val="24"/>
        </w:rPr>
        <w:t xml:space="preserve"> </w:t>
      </w:r>
      <w:r>
        <w:rPr>
          <w:color w:val="FF0000"/>
          <w:sz w:val="24"/>
        </w:rPr>
        <w:t>a</w:t>
      </w:r>
      <w:r>
        <w:rPr>
          <w:color w:val="FF0000"/>
          <w:spacing w:val="-10"/>
          <w:sz w:val="24"/>
        </w:rPr>
        <w:t xml:space="preserve"> </w:t>
      </w:r>
      <w:r>
        <w:rPr>
          <w:color w:val="FF0000"/>
          <w:sz w:val="24"/>
        </w:rPr>
        <w:t>measure</w:t>
      </w:r>
      <w:r>
        <w:rPr>
          <w:color w:val="FF0000"/>
          <w:spacing w:val="-9"/>
          <w:sz w:val="24"/>
        </w:rPr>
        <w:t xml:space="preserve"> </w:t>
      </w:r>
      <w:r>
        <w:rPr>
          <w:color w:val="FF0000"/>
          <w:sz w:val="24"/>
        </w:rPr>
        <w:t>of</w:t>
      </w:r>
      <w:r>
        <w:rPr>
          <w:color w:val="FF0000"/>
          <w:spacing w:val="-10"/>
          <w:sz w:val="24"/>
        </w:rPr>
        <w:t xml:space="preserve"> </w:t>
      </w:r>
      <w:r>
        <w:rPr>
          <w:color w:val="FF0000"/>
          <w:sz w:val="24"/>
        </w:rPr>
        <w:t>certainty</w:t>
      </w:r>
      <w:r>
        <w:rPr>
          <w:color w:val="FF0000"/>
          <w:spacing w:val="-10"/>
          <w:sz w:val="24"/>
        </w:rPr>
        <w:t xml:space="preserve"> </w:t>
      </w:r>
      <w:r>
        <w:rPr>
          <w:color w:val="FF0000"/>
          <w:sz w:val="24"/>
        </w:rPr>
        <w:t>for the obligated</w:t>
      </w:r>
      <w:r>
        <w:rPr>
          <w:color w:val="FF0000"/>
          <w:spacing w:val="-1"/>
          <w:sz w:val="24"/>
        </w:rPr>
        <w:t xml:space="preserve"> </w:t>
      </w:r>
      <w:r>
        <w:rPr>
          <w:color w:val="FF0000"/>
          <w:sz w:val="24"/>
        </w:rPr>
        <w:t>parties.</w:t>
      </w:r>
    </w:p>
    <w:p w14:paraId="2AC1043D" w14:textId="77777777" w:rsidR="00EF2C7E" w:rsidRDefault="00E92E8F">
      <w:pPr>
        <w:pStyle w:val="ListParagraph"/>
        <w:numPr>
          <w:ilvl w:val="0"/>
          <w:numId w:val="1"/>
        </w:numPr>
        <w:tabs>
          <w:tab w:val="left" w:pos="965"/>
        </w:tabs>
        <w:spacing w:before="4"/>
        <w:jc w:val="both"/>
        <w:rPr>
          <w:sz w:val="24"/>
        </w:rPr>
      </w:pPr>
      <w:r>
        <w:rPr>
          <w:color w:val="FF0000"/>
          <w:sz w:val="24"/>
        </w:rPr>
        <w:t>If reflecting actual emissions reductions is a priority, awarding projected annual savings in a single year can create a problem if we learn that installed measures are achieving greater or lesser savings than had been</w:t>
      </w:r>
      <w:r>
        <w:rPr>
          <w:color w:val="FF0000"/>
          <w:spacing w:val="-2"/>
          <w:sz w:val="24"/>
        </w:rPr>
        <w:t xml:space="preserve"> </w:t>
      </w:r>
      <w:r>
        <w:rPr>
          <w:color w:val="FF0000"/>
          <w:sz w:val="24"/>
        </w:rPr>
        <w:t>projected.</w:t>
      </w:r>
    </w:p>
    <w:p w14:paraId="02E7F2FF" w14:textId="1AD0E04F" w:rsidR="00EF2C7E" w:rsidRPr="00E92E8F" w:rsidRDefault="00E92E8F" w:rsidP="00E92E8F">
      <w:pPr>
        <w:pStyle w:val="ListParagraph"/>
        <w:numPr>
          <w:ilvl w:val="0"/>
          <w:numId w:val="1"/>
        </w:numPr>
        <w:tabs>
          <w:tab w:val="left" w:pos="965"/>
        </w:tabs>
        <w:spacing w:before="5"/>
        <w:jc w:val="both"/>
        <w:rPr>
          <w:sz w:val="28"/>
          <w:szCs w:val="24"/>
        </w:rPr>
      </w:pPr>
      <w:r>
        <w:rPr>
          <w:color w:val="FF0000"/>
          <w:sz w:val="24"/>
        </w:rPr>
        <w:t xml:space="preserve">We talked about ways to deal with this potential </w:t>
      </w:r>
      <w:proofErr w:type="gramStart"/>
      <w:r>
        <w:rPr>
          <w:color w:val="FF0000"/>
          <w:sz w:val="24"/>
        </w:rPr>
        <w:t>problem, but</w:t>
      </w:r>
      <w:proofErr w:type="gramEnd"/>
      <w:r>
        <w:rPr>
          <w:color w:val="FF0000"/>
          <w:sz w:val="24"/>
        </w:rPr>
        <w:t xml:space="preserve"> came to no consensus at this time. There will be updates to the projections every three years, but whether they should be applied going forward to previously installed measures raises important </w:t>
      </w:r>
      <w:r>
        <w:rPr>
          <w:color w:val="FF0000"/>
          <w:sz w:val="24"/>
        </w:rPr>
        <w:lastRenderedPageBreak/>
        <w:t>questions having to do with fairness, certainty, and risk. One approach suggested was to</w:t>
      </w:r>
      <w:r>
        <w:rPr>
          <w:color w:val="FF0000"/>
          <w:spacing w:val="10"/>
          <w:sz w:val="24"/>
        </w:rPr>
        <w:t xml:space="preserve"> </w:t>
      </w:r>
      <w:r>
        <w:rPr>
          <w:color w:val="FF0000"/>
          <w:sz w:val="24"/>
        </w:rPr>
        <w:t>set</w:t>
      </w:r>
      <w:r>
        <w:rPr>
          <w:color w:val="FF0000"/>
          <w:spacing w:val="11"/>
          <w:sz w:val="24"/>
        </w:rPr>
        <w:t xml:space="preserve"> </w:t>
      </w:r>
      <w:r>
        <w:rPr>
          <w:color w:val="FF0000"/>
          <w:sz w:val="24"/>
        </w:rPr>
        <w:t>credit</w:t>
      </w:r>
      <w:r>
        <w:rPr>
          <w:color w:val="FF0000"/>
          <w:spacing w:val="10"/>
          <w:sz w:val="24"/>
        </w:rPr>
        <w:t xml:space="preserve"> </w:t>
      </w:r>
      <w:r>
        <w:rPr>
          <w:color w:val="FF0000"/>
          <w:sz w:val="24"/>
        </w:rPr>
        <w:t>values</w:t>
      </w:r>
      <w:r>
        <w:rPr>
          <w:color w:val="FF0000"/>
          <w:spacing w:val="11"/>
          <w:sz w:val="24"/>
        </w:rPr>
        <w:t xml:space="preserve"> </w:t>
      </w:r>
      <w:r>
        <w:rPr>
          <w:color w:val="FF0000"/>
          <w:sz w:val="24"/>
        </w:rPr>
        <w:t>only</w:t>
      </w:r>
      <w:r>
        <w:rPr>
          <w:color w:val="FF0000"/>
          <w:spacing w:val="11"/>
          <w:sz w:val="24"/>
        </w:rPr>
        <w:t xml:space="preserve"> </w:t>
      </w:r>
      <w:r>
        <w:rPr>
          <w:color w:val="FF0000"/>
          <w:sz w:val="24"/>
        </w:rPr>
        <w:t>for</w:t>
      </w:r>
      <w:r>
        <w:rPr>
          <w:color w:val="FF0000"/>
          <w:spacing w:val="10"/>
          <w:sz w:val="24"/>
        </w:rPr>
        <w:t xml:space="preserve"> </w:t>
      </w:r>
      <w:r>
        <w:rPr>
          <w:color w:val="FF0000"/>
          <w:sz w:val="24"/>
        </w:rPr>
        <w:t>three</w:t>
      </w:r>
      <w:r>
        <w:rPr>
          <w:color w:val="FF0000"/>
          <w:spacing w:val="11"/>
          <w:sz w:val="24"/>
        </w:rPr>
        <w:t xml:space="preserve"> </w:t>
      </w:r>
      <w:r>
        <w:rPr>
          <w:color w:val="FF0000"/>
          <w:sz w:val="24"/>
        </w:rPr>
        <w:t>years</w:t>
      </w:r>
      <w:r>
        <w:rPr>
          <w:color w:val="FF0000"/>
          <w:spacing w:val="10"/>
          <w:sz w:val="24"/>
        </w:rPr>
        <w:t xml:space="preserve"> </w:t>
      </w:r>
      <w:r>
        <w:rPr>
          <w:color w:val="FF0000"/>
          <w:sz w:val="24"/>
        </w:rPr>
        <w:t>and</w:t>
      </w:r>
      <w:r>
        <w:rPr>
          <w:color w:val="FF0000"/>
          <w:spacing w:val="11"/>
          <w:sz w:val="24"/>
        </w:rPr>
        <w:t xml:space="preserve"> </w:t>
      </w:r>
      <w:r>
        <w:rPr>
          <w:color w:val="FF0000"/>
          <w:sz w:val="24"/>
        </w:rPr>
        <w:t>then</w:t>
      </w:r>
      <w:r>
        <w:rPr>
          <w:color w:val="FF0000"/>
          <w:spacing w:val="11"/>
          <w:sz w:val="24"/>
        </w:rPr>
        <w:t xml:space="preserve"> </w:t>
      </w:r>
      <w:r>
        <w:rPr>
          <w:color w:val="FF0000"/>
          <w:sz w:val="24"/>
        </w:rPr>
        <w:t>reset</w:t>
      </w:r>
      <w:r>
        <w:rPr>
          <w:color w:val="FF0000"/>
          <w:spacing w:val="10"/>
          <w:sz w:val="24"/>
        </w:rPr>
        <w:t xml:space="preserve"> </w:t>
      </w:r>
      <w:r>
        <w:rPr>
          <w:color w:val="FF0000"/>
          <w:sz w:val="24"/>
        </w:rPr>
        <w:t>them</w:t>
      </w:r>
      <w:r>
        <w:rPr>
          <w:color w:val="FF0000"/>
          <w:spacing w:val="11"/>
          <w:sz w:val="24"/>
        </w:rPr>
        <w:t xml:space="preserve"> </w:t>
      </w:r>
      <w:r>
        <w:rPr>
          <w:color w:val="FF0000"/>
          <w:sz w:val="24"/>
        </w:rPr>
        <w:t>when</w:t>
      </w:r>
      <w:r>
        <w:rPr>
          <w:color w:val="FF0000"/>
          <w:spacing w:val="10"/>
          <w:sz w:val="24"/>
        </w:rPr>
        <w:t xml:space="preserve"> </w:t>
      </w:r>
      <w:r>
        <w:rPr>
          <w:color w:val="FF0000"/>
          <w:sz w:val="24"/>
        </w:rPr>
        <w:t>new</w:t>
      </w:r>
      <w:r>
        <w:rPr>
          <w:color w:val="FF0000"/>
          <w:spacing w:val="11"/>
          <w:sz w:val="24"/>
        </w:rPr>
        <w:t xml:space="preserve"> </w:t>
      </w:r>
      <w:r>
        <w:rPr>
          <w:color w:val="FF0000"/>
          <w:sz w:val="24"/>
        </w:rPr>
        <w:t>projections</w:t>
      </w:r>
      <w:r>
        <w:rPr>
          <w:color w:val="FF0000"/>
          <w:spacing w:val="11"/>
          <w:sz w:val="24"/>
        </w:rPr>
        <w:t xml:space="preserve"> </w:t>
      </w:r>
      <w:r>
        <w:rPr>
          <w:color w:val="FF0000"/>
          <w:sz w:val="24"/>
        </w:rPr>
        <w:t xml:space="preserve">are </w:t>
      </w:r>
      <w:r w:rsidRPr="00E92E8F">
        <w:rPr>
          <w:color w:val="FF0000"/>
          <w:sz w:val="24"/>
          <w:szCs w:val="24"/>
        </w:rPr>
        <w:t>determined. It was noted that this will affect both incentive levels and how they get paid.</w:t>
      </w:r>
    </w:p>
    <w:p w14:paraId="1761D04B" w14:textId="77777777" w:rsidR="00EF2C7E" w:rsidRPr="00382878" w:rsidRDefault="00E92E8F">
      <w:pPr>
        <w:pStyle w:val="ListParagraph"/>
        <w:numPr>
          <w:ilvl w:val="0"/>
          <w:numId w:val="1"/>
        </w:numPr>
        <w:tabs>
          <w:tab w:val="left" w:pos="965"/>
        </w:tabs>
        <w:spacing w:before="3"/>
        <w:jc w:val="both"/>
        <w:rPr>
          <w:sz w:val="24"/>
        </w:rPr>
      </w:pPr>
      <w:r>
        <w:rPr>
          <w:color w:val="FF0000"/>
          <w:sz w:val="24"/>
        </w:rPr>
        <w:t>Lastly,</w:t>
      </w:r>
      <w:r>
        <w:rPr>
          <w:color w:val="FF0000"/>
          <w:spacing w:val="-4"/>
          <w:sz w:val="24"/>
        </w:rPr>
        <w:t xml:space="preserve"> </w:t>
      </w:r>
      <w:r>
        <w:rPr>
          <w:color w:val="FF0000"/>
          <w:sz w:val="24"/>
        </w:rPr>
        <w:t>we</w:t>
      </w:r>
      <w:r>
        <w:rPr>
          <w:color w:val="FF0000"/>
          <w:spacing w:val="-3"/>
          <w:sz w:val="24"/>
        </w:rPr>
        <w:t xml:space="preserve"> </w:t>
      </w:r>
      <w:r>
        <w:rPr>
          <w:color w:val="FF0000"/>
          <w:sz w:val="24"/>
        </w:rPr>
        <w:t>asked</w:t>
      </w:r>
      <w:r>
        <w:rPr>
          <w:color w:val="FF0000"/>
          <w:spacing w:val="-3"/>
          <w:sz w:val="24"/>
        </w:rPr>
        <w:t xml:space="preserve"> </w:t>
      </w:r>
      <w:r>
        <w:rPr>
          <w:color w:val="FF0000"/>
          <w:sz w:val="24"/>
        </w:rPr>
        <w:t>ourselves</w:t>
      </w:r>
      <w:r>
        <w:rPr>
          <w:color w:val="FF0000"/>
          <w:spacing w:val="-3"/>
          <w:sz w:val="24"/>
        </w:rPr>
        <w:t xml:space="preserve"> </w:t>
      </w:r>
      <w:r>
        <w:rPr>
          <w:color w:val="FF0000"/>
          <w:sz w:val="24"/>
        </w:rPr>
        <w:t>how</w:t>
      </w:r>
      <w:r>
        <w:rPr>
          <w:color w:val="FF0000"/>
          <w:spacing w:val="-3"/>
          <w:sz w:val="24"/>
        </w:rPr>
        <w:t xml:space="preserve"> </w:t>
      </w:r>
      <w:proofErr w:type="gramStart"/>
      <w:r>
        <w:rPr>
          <w:color w:val="FF0000"/>
          <w:sz w:val="24"/>
        </w:rPr>
        <w:t>should</w:t>
      </w:r>
      <w:r>
        <w:rPr>
          <w:color w:val="FF0000"/>
          <w:spacing w:val="-3"/>
          <w:sz w:val="24"/>
        </w:rPr>
        <w:t xml:space="preserve"> </w:t>
      </w:r>
      <w:r>
        <w:rPr>
          <w:color w:val="FF0000"/>
          <w:sz w:val="24"/>
        </w:rPr>
        <w:t>savings</w:t>
      </w:r>
      <w:proofErr w:type="gramEnd"/>
      <w:r>
        <w:rPr>
          <w:color w:val="FF0000"/>
          <w:spacing w:val="-3"/>
          <w:sz w:val="24"/>
        </w:rPr>
        <w:t xml:space="preserve"> </w:t>
      </w:r>
      <w:r>
        <w:rPr>
          <w:color w:val="FF0000"/>
          <w:sz w:val="24"/>
        </w:rPr>
        <w:t>be</w:t>
      </w:r>
      <w:r>
        <w:rPr>
          <w:color w:val="FF0000"/>
          <w:spacing w:val="-3"/>
          <w:sz w:val="24"/>
        </w:rPr>
        <w:t xml:space="preserve"> </w:t>
      </w:r>
      <w:r>
        <w:rPr>
          <w:color w:val="FF0000"/>
          <w:sz w:val="24"/>
        </w:rPr>
        <w:t>shared</w:t>
      </w:r>
      <w:r>
        <w:rPr>
          <w:color w:val="FF0000"/>
          <w:spacing w:val="-3"/>
          <w:sz w:val="24"/>
        </w:rPr>
        <w:t xml:space="preserve"> </w:t>
      </w:r>
      <w:r>
        <w:rPr>
          <w:color w:val="FF0000"/>
          <w:sz w:val="24"/>
        </w:rPr>
        <w:t>with</w:t>
      </w:r>
      <w:r>
        <w:rPr>
          <w:color w:val="FF0000"/>
          <w:spacing w:val="-3"/>
          <w:sz w:val="24"/>
        </w:rPr>
        <w:t xml:space="preserve"> </w:t>
      </w:r>
      <w:r>
        <w:rPr>
          <w:color w:val="FF0000"/>
          <w:sz w:val="24"/>
        </w:rPr>
        <w:t>parties</w:t>
      </w:r>
      <w:r>
        <w:rPr>
          <w:color w:val="FF0000"/>
          <w:spacing w:val="-3"/>
          <w:sz w:val="24"/>
        </w:rPr>
        <w:t xml:space="preserve"> </w:t>
      </w:r>
      <w:r>
        <w:rPr>
          <w:color w:val="FF0000"/>
          <w:sz w:val="24"/>
        </w:rPr>
        <w:t>–</w:t>
      </w:r>
      <w:r>
        <w:rPr>
          <w:color w:val="FF0000"/>
          <w:spacing w:val="-3"/>
          <w:sz w:val="24"/>
        </w:rPr>
        <w:t xml:space="preserve"> </w:t>
      </w:r>
      <w:r>
        <w:rPr>
          <w:color w:val="FF0000"/>
          <w:sz w:val="24"/>
        </w:rPr>
        <w:t>by</w:t>
      </w:r>
      <w:r>
        <w:rPr>
          <w:color w:val="FF0000"/>
          <w:spacing w:val="-3"/>
          <w:sz w:val="24"/>
        </w:rPr>
        <w:t xml:space="preserve"> </w:t>
      </w:r>
      <w:r>
        <w:rPr>
          <w:color w:val="FF0000"/>
          <w:sz w:val="24"/>
        </w:rPr>
        <w:t>means</w:t>
      </w:r>
      <w:r>
        <w:rPr>
          <w:color w:val="FF0000"/>
          <w:spacing w:val="-3"/>
          <w:sz w:val="24"/>
        </w:rPr>
        <w:t xml:space="preserve"> </w:t>
      </w:r>
      <w:r>
        <w:rPr>
          <w:color w:val="FF0000"/>
          <w:sz w:val="24"/>
        </w:rPr>
        <w:t>of</w:t>
      </w:r>
      <w:r>
        <w:rPr>
          <w:color w:val="FF0000"/>
          <w:spacing w:val="-3"/>
          <w:sz w:val="24"/>
        </w:rPr>
        <w:t xml:space="preserve"> </w:t>
      </w:r>
      <w:r>
        <w:rPr>
          <w:color w:val="FF0000"/>
          <w:sz w:val="24"/>
        </w:rPr>
        <w:t xml:space="preserve">full tables with annual projected savings or a more simplified approach? We didn’t reach a </w:t>
      </w:r>
      <w:proofErr w:type="gramStart"/>
      <w:r>
        <w:rPr>
          <w:color w:val="FF0000"/>
          <w:sz w:val="24"/>
        </w:rPr>
        <w:t>conclusion, but</w:t>
      </w:r>
      <w:proofErr w:type="gramEnd"/>
      <w:r>
        <w:rPr>
          <w:color w:val="FF0000"/>
          <w:sz w:val="24"/>
        </w:rPr>
        <w:t xml:space="preserve"> have reserved it for further</w:t>
      </w:r>
      <w:r>
        <w:rPr>
          <w:color w:val="FF0000"/>
          <w:spacing w:val="-4"/>
          <w:sz w:val="24"/>
        </w:rPr>
        <w:t xml:space="preserve"> </w:t>
      </w:r>
      <w:r>
        <w:rPr>
          <w:color w:val="FF0000"/>
          <w:sz w:val="24"/>
        </w:rPr>
        <w:t>discussion.</w:t>
      </w:r>
    </w:p>
    <w:p w14:paraId="2654A6C6" w14:textId="77777777" w:rsidR="00382878" w:rsidRDefault="00382878" w:rsidP="00382878">
      <w:pPr>
        <w:tabs>
          <w:tab w:val="left" w:pos="965"/>
        </w:tabs>
        <w:spacing w:before="3"/>
        <w:jc w:val="both"/>
        <w:rPr>
          <w:sz w:val="24"/>
        </w:rPr>
      </w:pPr>
    </w:p>
    <w:p w14:paraId="3C2DAC7D" w14:textId="7089499D" w:rsidR="00382878" w:rsidRPr="00382878" w:rsidRDefault="00382878" w:rsidP="00382878">
      <w:pPr>
        <w:tabs>
          <w:tab w:val="left" w:pos="965"/>
        </w:tabs>
        <w:spacing w:before="3"/>
        <w:ind w:left="990"/>
        <w:jc w:val="both"/>
        <w:rPr>
          <w:color w:val="4F6228" w:themeColor="accent3" w:themeShade="80"/>
          <w:sz w:val="24"/>
        </w:rPr>
      </w:pPr>
      <w:r>
        <w:rPr>
          <w:color w:val="4F6228" w:themeColor="accent3" w:themeShade="80"/>
          <w:sz w:val="24"/>
        </w:rPr>
        <w:t xml:space="preserve">Thank you for this summary. We will continue with our current approach of providing lifetime CO2e reductions for now, though we can adjust this approach for the final TRM draft. </w:t>
      </w:r>
    </w:p>
    <w:p w14:paraId="67B810B6" w14:textId="77777777" w:rsidR="00382878" w:rsidRDefault="00382878" w:rsidP="00382878">
      <w:pPr>
        <w:tabs>
          <w:tab w:val="left" w:pos="965"/>
        </w:tabs>
        <w:spacing w:before="3"/>
        <w:jc w:val="both"/>
        <w:rPr>
          <w:sz w:val="24"/>
        </w:rPr>
      </w:pPr>
    </w:p>
    <w:p w14:paraId="3547ECC0" w14:textId="77777777" w:rsidR="00382878" w:rsidRPr="00382878" w:rsidRDefault="00382878" w:rsidP="00382878">
      <w:pPr>
        <w:tabs>
          <w:tab w:val="left" w:pos="965"/>
        </w:tabs>
        <w:spacing w:before="3"/>
        <w:jc w:val="both"/>
        <w:rPr>
          <w:sz w:val="24"/>
        </w:rPr>
      </w:pPr>
    </w:p>
    <w:sectPr w:rsidR="00382878" w:rsidRPr="00382878">
      <w:pgSz w:w="11900" w:h="16840"/>
      <w:pgMar w:top="1480" w:right="1300" w:bottom="960" w:left="1340" w:header="0" w:footer="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94D7C" w14:textId="77777777" w:rsidR="00E92E8F" w:rsidRDefault="00E92E8F">
      <w:r>
        <w:separator/>
      </w:r>
    </w:p>
  </w:endnote>
  <w:endnote w:type="continuationSeparator" w:id="0">
    <w:p w14:paraId="2E022A44" w14:textId="77777777" w:rsidR="00E92E8F" w:rsidRDefault="00E9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BFA8D" w14:textId="27160932" w:rsidR="00EF2C7E" w:rsidRDefault="00EA7976">
    <w:pPr>
      <w:pStyle w:val="BodyText"/>
      <w:spacing w:line="14" w:lineRule="auto"/>
      <w:rPr>
        <w:sz w:val="18"/>
      </w:rPr>
    </w:pPr>
    <w:r>
      <w:rPr>
        <w:noProof/>
      </w:rPr>
      <mc:AlternateContent>
        <mc:Choice Requires="wps">
          <w:drawing>
            <wp:anchor distT="0" distB="0" distL="114300" distR="114300" simplePos="0" relativeHeight="251657728" behindDoc="1" locked="0" layoutInCell="1" allowOverlap="1" wp14:anchorId="132BEC4D" wp14:editId="1CB000A9">
              <wp:simplePos x="0" y="0"/>
              <wp:positionH relativeFrom="page">
                <wp:posOffset>6628130</wp:posOffset>
              </wp:positionH>
              <wp:positionV relativeFrom="page">
                <wp:posOffset>10067925</wp:posOffset>
              </wp:positionV>
              <wp:extent cx="142240" cy="183515"/>
              <wp:effectExtent l="0" t="0" r="0" b="0"/>
              <wp:wrapNone/>
              <wp:docPr id="118276220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8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4F27C" w14:textId="77777777" w:rsidR="00EF2C7E" w:rsidRDefault="00E92E8F">
                          <w:pPr>
                            <w:spacing w:before="20"/>
                            <w:ind w:left="60"/>
                          </w:pPr>
                          <w:r>
                            <w:fldChar w:fldCharType="begin"/>
                          </w:r>
                          <w:r>
                            <w:instrText xml:space="preserve"> PAGE </w:instrText>
                          </w:r>
                          <w:r>
                            <w:fldChar w:fldCharType="separate"/>
                          </w:r>
                          <w: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2BEC4D" id="_x0000_t202" coordsize="21600,21600" o:spt="202" path="m,l,21600r21600,l21600,xe">
              <v:stroke joinstyle="miter"/>
              <v:path gradientshapeok="t" o:connecttype="rect"/>
            </v:shapetype>
            <v:shape id="Text Box 1" o:spid="_x0000_s1026" type="#_x0000_t202" style="position:absolute;margin-left:521.9pt;margin-top:792.75pt;width:11.2pt;height:14.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" filled="f" stroked="f">
              <v:textbox inset="0,0,0,0">
                <w:txbxContent>
                  <w:p w14:paraId="1714F27C" w14:textId="77777777" w:rsidR="00EF2C7E" w:rsidRDefault="00E92E8F">
                    <w:pPr>
                      <w:spacing w:before="20"/>
                      <w:ind w:left="60"/>
                    </w:pPr>
                    <w:r>
                      <w:fldChar w:fldCharType="begin"/>
                    </w:r>
                    <w:r>
                      <w:instrText xml:space="preserve"> PAGE </w:instrText>
                    </w:r>
                    <w:r>
                      <w:fldChar w:fldCharType="separate"/>
                    </w:r>
                    <w: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97F39" w14:textId="77777777" w:rsidR="00E92E8F" w:rsidRDefault="00E92E8F">
      <w:r>
        <w:separator/>
      </w:r>
    </w:p>
  </w:footnote>
  <w:footnote w:type="continuationSeparator" w:id="0">
    <w:p w14:paraId="4A1039FD" w14:textId="77777777" w:rsidR="00E92E8F" w:rsidRDefault="00E92E8F">
      <w:r>
        <w:continuationSeparator/>
      </w:r>
    </w:p>
  </w:footnote>
  <w:footnote w:id="1">
    <w:p w14:paraId="05D52833" w14:textId="0C47F68F" w:rsidR="00CD6261" w:rsidRDefault="00CD6261">
      <w:pPr>
        <w:pStyle w:val="FootnoteText"/>
      </w:pPr>
      <w:r>
        <w:rPr>
          <w:rStyle w:val="FootnoteReference"/>
        </w:rPr>
        <w:footnoteRef/>
      </w:r>
      <w:r>
        <w:t xml:space="preserve"> </w:t>
      </w:r>
      <w:r w:rsidR="00743D3E">
        <w:t xml:space="preserve">NMR Group, 2023. </w:t>
      </w:r>
      <w:r w:rsidR="00743D3E">
        <w:rPr>
          <w:i/>
        </w:rPr>
        <w:t xml:space="preserve">2020 Vermont Single-Family Existing Homes Baseline Study.  </w:t>
      </w:r>
      <w:hyperlink r:id="rId1" w:history="1">
        <w:r w:rsidR="00743D3E" w:rsidRPr="003336EC">
          <w:rPr>
            <w:rStyle w:val="Hyperlink"/>
          </w:rPr>
          <w:t>https://publicservice.vermont.gov/document/2020-vermont-single-family-existing-homes-baseline-study</w:t>
        </w:r>
      </w:hyperlink>
    </w:p>
  </w:footnote>
  <w:footnote w:id="2">
    <w:p w14:paraId="213E5D44" w14:textId="30BAEFD5" w:rsidR="00CD6261" w:rsidRDefault="00CD6261">
      <w:pPr>
        <w:pStyle w:val="FootnoteText"/>
      </w:pPr>
      <w:r>
        <w:rPr>
          <w:rStyle w:val="FootnoteReference"/>
        </w:rPr>
        <w:footnoteRef/>
      </w:r>
      <w:r>
        <w:t xml:space="preserve"> </w:t>
      </w:r>
      <w:r w:rsidR="00743D3E">
        <w:t xml:space="preserve">NMR Group, 2023. </w:t>
      </w:r>
      <w:r w:rsidR="00743D3E">
        <w:rPr>
          <w:i/>
          <w:iCs/>
        </w:rPr>
        <w:t xml:space="preserve">2020 Vermont Multifamily Residential Study. </w:t>
      </w:r>
      <w:hyperlink r:id="rId2" w:history="1">
        <w:r w:rsidR="00743D3E" w:rsidRPr="003336EC">
          <w:rPr>
            <w:rStyle w:val="Hyperlink"/>
          </w:rPr>
          <w:t>https://publicservice.vermont.gov/document/2020-vermont-multifamily-residential-baseline-study</w:t>
        </w:r>
      </w:hyperlink>
    </w:p>
  </w:footnote>
  <w:footnote w:id="3">
    <w:p w14:paraId="0D5C260F" w14:textId="55ECEEA0" w:rsidR="00AB3814" w:rsidRDefault="00AB3814">
      <w:pPr>
        <w:pStyle w:val="FootnoteText"/>
      </w:pPr>
      <w:r>
        <w:rPr>
          <w:rStyle w:val="FootnoteReference"/>
        </w:rPr>
        <w:footnoteRef/>
      </w:r>
      <w:r>
        <w:t xml:space="preserve"> According to Table 2 of the SF study and Table 3 of the MF study, the </w:t>
      </w:r>
      <w:r w:rsidR="00495397">
        <w:t xml:space="preserve">statewide </w:t>
      </w:r>
      <w:r>
        <w:t>SF and MF household population sizes are 194,849 and 20,777, respectively. So approximately 90% of Vermont households are in single family residences, and 10% are in multifamily residences.</w:t>
      </w:r>
    </w:p>
  </w:footnote>
  <w:footnote w:id="4">
    <w:p w14:paraId="5DA14E62" w14:textId="33C05625" w:rsidR="006141D9" w:rsidRDefault="006141D9">
      <w:pPr>
        <w:pStyle w:val="FootnoteText"/>
      </w:pPr>
      <w:r>
        <w:rPr>
          <w:rStyle w:val="FootnoteReference"/>
        </w:rPr>
        <w:footnoteRef/>
      </w:r>
      <w:r>
        <w:t xml:space="preserve"> Source: </w:t>
      </w:r>
      <w:r w:rsidR="00735F60">
        <w:t xml:space="preserve">Source: Table 58, NMR Group, </w:t>
      </w:r>
      <w:r w:rsidR="00735F60" w:rsidRPr="004B69E6">
        <w:rPr>
          <w:i/>
          <w:iCs/>
        </w:rPr>
        <w:t>2020 Vermont Single Family Existing Homes Baseline Study</w:t>
      </w:r>
      <w:r w:rsidR="00735F60">
        <w:t xml:space="preserve">; </w:t>
      </w:r>
      <w:r>
        <w:t xml:space="preserve">Table 60, NMR Group, </w:t>
      </w:r>
      <w:r>
        <w:rPr>
          <w:i/>
          <w:iCs/>
        </w:rPr>
        <w:t>2020 Vermont Single Family New Construction Baseline and Code Compliance Study</w:t>
      </w:r>
      <w:r w:rsidR="00735F60">
        <w:rPr>
          <w:i/>
          <w:iCs/>
        </w:rPr>
        <w:t xml:space="preserve"> (</w:t>
      </w:r>
      <w:hyperlink r:id="rId3" w:history="1">
        <w:r w:rsidRPr="003336EC">
          <w:rPr>
            <w:rStyle w:val="Hyperlink"/>
            <w:i/>
            <w:iCs/>
          </w:rPr>
          <w:t>https://publicservice.vermont.gov/document/2020-vermont-single-family-new-construction-baseline-study</w:t>
        </w:r>
      </w:hyperlink>
      <w:r w:rsidR="00735F60">
        <w:rPr>
          <w:i/>
          <w:iCs/>
        </w:rPr>
        <w:t>)</w:t>
      </w:r>
      <w:r>
        <w:rPr>
          <w:i/>
          <w:iCs/>
        </w:rPr>
        <w:t xml:space="preserve"> </w:t>
      </w:r>
      <w:r w:rsidR="00735F60">
        <w:t xml:space="preserve">and Table 63, NMR Group, </w:t>
      </w:r>
      <w:r w:rsidR="00735F60">
        <w:rPr>
          <w:i/>
          <w:iCs/>
        </w:rPr>
        <w:t>2020 Vermont Multifamily Residential Baseline Study.</w:t>
      </w:r>
    </w:p>
  </w:footnote>
  <w:footnote w:id="5">
    <w:p w14:paraId="36AFD056" w14:textId="0F50971A" w:rsidR="00BE185C" w:rsidRDefault="00BE185C">
      <w:pPr>
        <w:pStyle w:val="FootnoteText"/>
      </w:pPr>
      <w:r>
        <w:rPr>
          <w:rStyle w:val="FootnoteReference"/>
        </w:rPr>
        <w:footnoteRef/>
      </w:r>
      <w:r>
        <w:t xml:space="preserve"> </w:t>
      </w:r>
      <w:proofErr w:type="spellStart"/>
      <w:r>
        <w:t>Energy+Environmental</w:t>
      </w:r>
      <w:proofErr w:type="spellEnd"/>
      <w:r>
        <w:t xml:space="preserve"> Economics. </w:t>
      </w:r>
      <w:r>
        <w:rPr>
          <w:i/>
          <w:iCs/>
        </w:rPr>
        <w:t>Residential Building Electrification in California: Consumer economics, greenhouse gases and grid impacts</w:t>
      </w:r>
      <w:r>
        <w:t xml:space="preserve">. April 2019. Figure 2-8, p. 34. </w:t>
      </w:r>
      <w:hyperlink r:id="rId4" w:history="1">
        <w:r w:rsidRPr="003336EC">
          <w:rPr>
            <w:rStyle w:val="Hyperlink"/>
          </w:rPr>
          <w:t>https://www.ethree.com/wp-content/uploads/2019/04/E3_Residential_Building_Electrification_in_California_April_2019.pdf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D7F4A"/>
    <w:multiLevelType w:val="hybridMultilevel"/>
    <w:tmpl w:val="F6B06F7C"/>
    <w:lvl w:ilvl="0" w:tplc="87924B8A">
      <w:numFmt w:val="bullet"/>
      <w:lvlText w:val=""/>
      <w:lvlJc w:val="left"/>
      <w:pPr>
        <w:ind w:left="820" w:hanging="360"/>
      </w:pPr>
      <w:rPr>
        <w:rFonts w:hint="default"/>
        <w:w w:val="100"/>
      </w:rPr>
    </w:lvl>
    <w:lvl w:ilvl="1" w:tplc="3E24611C">
      <w:numFmt w:val="bullet"/>
      <w:lvlText w:val="•"/>
      <w:lvlJc w:val="left"/>
      <w:pPr>
        <w:ind w:left="1663" w:hanging="360"/>
      </w:pPr>
      <w:rPr>
        <w:rFonts w:hint="default"/>
      </w:rPr>
    </w:lvl>
    <w:lvl w:ilvl="2" w:tplc="E63C0B4E">
      <w:numFmt w:val="bullet"/>
      <w:lvlText w:val="•"/>
      <w:lvlJc w:val="left"/>
      <w:pPr>
        <w:ind w:left="2507" w:hanging="360"/>
      </w:pPr>
      <w:rPr>
        <w:rFonts w:hint="default"/>
      </w:rPr>
    </w:lvl>
    <w:lvl w:ilvl="3" w:tplc="EA125876">
      <w:numFmt w:val="bullet"/>
      <w:lvlText w:val="•"/>
      <w:lvlJc w:val="left"/>
      <w:pPr>
        <w:ind w:left="3351" w:hanging="360"/>
      </w:pPr>
      <w:rPr>
        <w:rFonts w:hint="default"/>
      </w:rPr>
    </w:lvl>
    <w:lvl w:ilvl="4" w:tplc="3370AA62">
      <w:numFmt w:val="bullet"/>
      <w:lvlText w:val="•"/>
      <w:lvlJc w:val="left"/>
      <w:pPr>
        <w:ind w:left="4195" w:hanging="360"/>
      </w:pPr>
      <w:rPr>
        <w:rFonts w:hint="default"/>
      </w:rPr>
    </w:lvl>
    <w:lvl w:ilvl="5" w:tplc="18BE7152">
      <w:numFmt w:val="bullet"/>
      <w:lvlText w:val="•"/>
      <w:lvlJc w:val="left"/>
      <w:pPr>
        <w:ind w:left="5039" w:hanging="360"/>
      </w:pPr>
      <w:rPr>
        <w:rFonts w:hint="default"/>
      </w:rPr>
    </w:lvl>
    <w:lvl w:ilvl="6" w:tplc="C324D93E">
      <w:numFmt w:val="bullet"/>
      <w:lvlText w:val="•"/>
      <w:lvlJc w:val="left"/>
      <w:pPr>
        <w:ind w:left="5883" w:hanging="360"/>
      </w:pPr>
      <w:rPr>
        <w:rFonts w:hint="default"/>
      </w:rPr>
    </w:lvl>
    <w:lvl w:ilvl="7" w:tplc="C76271CC">
      <w:numFmt w:val="bullet"/>
      <w:lvlText w:val="•"/>
      <w:lvlJc w:val="left"/>
      <w:pPr>
        <w:ind w:left="6727" w:hanging="360"/>
      </w:pPr>
      <w:rPr>
        <w:rFonts w:hint="default"/>
      </w:rPr>
    </w:lvl>
    <w:lvl w:ilvl="8" w:tplc="2FD08E1C">
      <w:numFmt w:val="bullet"/>
      <w:lvlText w:val="•"/>
      <w:lvlJc w:val="left"/>
      <w:pPr>
        <w:ind w:left="7571" w:hanging="360"/>
      </w:pPr>
      <w:rPr>
        <w:rFonts w:hint="default"/>
      </w:rPr>
    </w:lvl>
  </w:abstractNum>
  <w:abstractNum w:abstractNumId="1" w15:restartNumberingAfterBreak="0">
    <w:nsid w:val="1A212802"/>
    <w:multiLevelType w:val="hybridMultilevel"/>
    <w:tmpl w:val="068A4B8A"/>
    <w:lvl w:ilvl="0" w:tplc="4838F0DE">
      <w:start w:val="1"/>
      <w:numFmt w:val="decimal"/>
      <w:lvlText w:val="%1."/>
      <w:lvlJc w:val="left"/>
      <w:pPr>
        <w:ind w:left="460" w:hanging="360"/>
      </w:pPr>
      <w:rPr>
        <w:rFonts w:ascii="Garamond" w:eastAsia="Garamond" w:hAnsi="Garamond" w:cs="Garamond" w:hint="default"/>
        <w:color w:val="265EAC"/>
        <w:spacing w:val="-1"/>
        <w:w w:val="100"/>
        <w:sz w:val="24"/>
        <w:szCs w:val="24"/>
      </w:rPr>
    </w:lvl>
    <w:lvl w:ilvl="1" w:tplc="17CEA35E">
      <w:start w:val="1"/>
      <w:numFmt w:val="lowerLetter"/>
      <w:lvlText w:val="%2."/>
      <w:lvlJc w:val="left"/>
      <w:pPr>
        <w:ind w:left="1180" w:hanging="360"/>
      </w:pPr>
      <w:rPr>
        <w:rFonts w:ascii="Garamond" w:eastAsia="Garamond" w:hAnsi="Garamond" w:cs="Garamond" w:hint="default"/>
        <w:spacing w:val="-1"/>
        <w:w w:val="100"/>
        <w:sz w:val="24"/>
        <w:szCs w:val="24"/>
      </w:rPr>
    </w:lvl>
    <w:lvl w:ilvl="2" w:tplc="BFAA619C">
      <w:numFmt w:val="bullet"/>
      <w:lvlText w:val="•"/>
      <w:lvlJc w:val="left"/>
      <w:pPr>
        <w:ind w:left="2077" w:hanging="360"/>
      </w:pPr>
      <w:rPr>
        <w:rFonts w:hint="default"/>
      </w:rPr>
    </w:lvl>
    <w:lvl w:ilvl="3" w:tplc="3AEAA694">
      <w:numFmt w:val="bullet"/>
      <w:lvlText w:val="•"/>
      <w:lvlJc w:val="left"/>
      <w:pPr>
        <w:ind w:left="2975" w:hanging="360"/>
      </w:pPr>
      <w:rPr>
        <w:rFonts w:hint="default"/>
      </w:rPr>
    </w:lvl>
    <w:lvl w:ilvl="4" w:tplc="E41C89FC">
      <w:numFmt w:val="bullet"/>
      <w:lvlText w:val="•"/>
      <w:lvlJc w:val="left"/>
      <w:pPr>
        <w:ind w:left="3873" w:hanging="360"/>
      </w:pPr>
      <w:rPr>
        <w:rFonts w:hint="default"/>
      </w:rPr>
    </w:lvl>
    <w:lvl w:ilvl="5" w:tplc="1418368A">
      <w:numFmt w:val="bullet"/>
      <w:lvlText w:val="•"/>
      <w:lvlJc w:val="left"/>
      <w:pPr>
        <w:ind w:left="4770" w:hanging="360"/>
      </w:pPr>
      <w:rPr>
        <w:rFonts w:hint="default"/>
      </w:rPr>
    </w:lvl>
    <w:lvl w:ilvl="6" w:tplc="9CF86354">
      <w:numFmt w:val="bullet"/>
      <w:lvlText w:val="•"/>
      <w:lvlJc w:val="left"/>
      <w:pPr>
        <w:ind w:left="5668" w:hanging="360"/>
      </w:pPr>
      <w:rPr>
        <w:rFonts w:hint="default"/>
      </w:rPr>
    </w:lvl>
    <w:lvl w:ilvl="7" w:tplc="00BEC8FA">
      <w:numFmt w:val="bullet"/>
      <w:lvlText w:val="•"/>
      <w:lvlJc w:val="left"/>
      <w:pPr>
        <w:ind w:left="6566" w:hanging="360"/>
      </w:pPr>
      <w:rPr>
        <w:rFonts w:hint="default"/>
      </w:rPr>
    </w:lvl>
    <w:lvl w:ilvl="8" w:tplc="A8D6B228">
      <w:numFmt w:val="bullet"/>
      <w:lvlText w:val="•"/>
      <w:lvlJc w:val="left"/>
      <w:pPr>
        <w:ind w:left="7463" w:hanging="360"/>
      </w:pPr>
      <w:rPr>
        <w:rFonts w:hint="default"/>
      </w:rPr>
    </w:lvl>
  </w:abstractNum>
  <w:abstractNum w:abstractNumId="2" w15:restartNumberingAfterBreak="0">
    <w:nsid w:val="4F6D3EAB"/>
    <w:multiLevelType w:val="hybridMultilevel"/>
    <w:tmpl w:val="B020517E"/>
    <w:lvl w:ilvl="0" w:tplc="B4E430E0">
      <w:numFmt w:val="bullet"/>
      <w:lvlText w:val=""/>
      <w:lvlJc w:val="left"/>
      <w:pPr>
        <w:ind w:left="964" w:hanging="361"/>
      </w:pPr>
      <w:rPr>
        <w:rFonts w:ascii="Symbol" w:eastAsia="Symbol" w:hAnsi="Symbol" w:cs="Symbol" w:hint="default"/>
        <w:color w:val="FF0000"/>
        <w:w w:val="100"/>
        <w:sz w:val="24"/>
        <w:szCs w:val="24"/>
      </w:rPr>
    </w:lvl>
    <w:lvl w:ilvl="1" w:tplc="5B5409F4">
      <w:numFmt w:val="bullet"/>
      <w:lvlText w:val="•"/>
      <w:lvlJc w:val="left"/>
      <w:pPr>
        <w:ind w:left="1789" w:hanging="361"/>
      </w:pPr>
      <w:rPr>
        <w:rFonts w:hint="default"/>
      </w:rPr>
    </w:lvl>
    <w:lvl w:ilvl="2" w:tplc="56C406DA">
      <w:numFmt w:val="bullet"/>
      <w:lvlText w:val="•"/>
      <w:lvlJc w:val="left"/>
      <w:pPr>
        <w:ind w:left="2619" w:hanging="361"/>
      </w:pPr>
      <w:rPr>
        <w:rFonts w:hint="default"/>
      </w:rPr>
    </w:lvl>
    <w:lvl w:ilvl="3" w:tplc="335E2484">
      <w:numFmt w:val="bullet"/>
      <w:lvlText w:val="•"/>
      <w:lvlJc w:val="left"/>
      <w:pPr>
        <w:ind w:left="3449" w:hanging="361"/>
      </w:pPr>
      <w:rPr>
        <w:rFonts w:hint="default"/>
      </w:rPr>
    </w:lvl>
    <w:lvl w:ilvl="4" w:tplc="2E025048">
      <w:numFmt w:val="bullet"/>
      <w:lvlText w:val="•"/>
      <w:lvlJc w:val="left"/>
      <w:pPr>
        <w:ind w:left="4279" w:hanging="361"/>
      </w:pPr>
      <w:rPr>
        <w:rFonts w:hint="default"/>
      </w:rPr>
    </w:lvl>
    <w:lvl w:ilvl="5" w:tplc="47CCD09E">
      <w:numFmt w:val="bullet"/>
      <w:lvlText w:val="•"/>
      <w:lvlJc w:val="left"/>
      <w:pPr>
        <w:ind w:left="5109" w:hanging="361"/>
      </w:pPr>
      <w:rPr>
        <w:rFonts w:hint="default"/>
      </w:rPr>
    </w:lvl>
    <w:lvl w:ilvl="6" w:tplc="CA3E2C86">
      <w:numFmt w:val="bullet"/>
      <w:lvlText w:val="•"/>
      <w:lvlJc w:val="left"/>
      <w:pPr>
        <w:ind w:left="5939" w:hanging="361"/>
      </w:pPr>
      <w:rPr>
        <w:rFonts w:hint="default"/>
      </w:rPr>
    </w:lvl>
    <w:lvl w:ilvl="7" w:tplc="91889A2A">
      <w:numFmt w:val="bullet"/>
      <w:lvlText w:val="•"/>
      <w:lvlJc w:val="left"/>
      <w:pPr>
        <w:ind w:left="6769" w:hanging="361"/>
      </w:pPr>
      <w:rPr>
        <w:rFonts w:hint="default"/>
      </w:rPr>
    </w:lvl>
    <w:lvl w:ilvl="8" w:tplc="B58A136E">
      <w:numFmt w:val="bullet"/>
      <w:lvlText w:val="•"/>
      <w:lvlJc w:val="left"/>
      <w:pPr>
        <w:ind w:left="7599" w:hanging="361"/>
      </w:pPr>
      <w:rPr>
        <w:rFonts w:hint="default"/>
      </w:rPr>
    </w:lvl>
  </w:abstractNum>
  <w:abstractNum w:abstractNumId="3" w15:restartNumberingAfterBreak="0">
    <w:nsid w:val="57A51E32"/>
    <w:multiLevelType w:val="hybridMultilevel"/>
    <w:tmpl w:val="33D275C4"/>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4" w15:restartNumberingAfterBreak="0">
    <w:nsid w:val="7BE30691"/>
    <w:multiLevelType w:val="hybridMultilevel"/>
    <w:tmpl w:val="0F1C28A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num w:numId="1" w16cid:durableId="384528571">
    <w:abstractNumId w:val="2"/>
  </w:num>
  <w:num w:numId="2" w16cid:durableId="208687791">
    <w:abstractNumId w:val="1"/>
  </w:num>
  <w:num w:numId="3" w16cid:durableId="1504667338">
    <w:abstractNumId w:val="0"/>
  </w:num>
  <w:num w:numId="4" w16cid:durableId="1037585535">
    <w:abstractNumId w:val="4"/>
  </w:num>
  <w:num w:numId="5" w16cid:durableId="15333055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C7E"/>
    <w:rsid w:val="00200E06"/>
    <w:rsid w:val="002E4FC9"/>
    <w:rsid w:val="00382878"/>
    <w:rsid w:val="003E4AB7"/>
    <w:rsid w:val="00495397"/>
    <w:rsid w:val="005B7680"/>
    <w:rsid w:val="005C1CC6"/>
    <w:rsid w:val="005F0494"/>
    <w:rsid w:val="006141D9"/>
    <w:rsid w:val="006B34AD"/>
    <w:rsid w:val="006F350F"/>
    <w:rsid w:val="00713F27"/>
    <w:rsid w:val="00735F60"/>
    <w:rsid w:val="00743D3E"/>
    <w:rsid w:val="00851DBA"/>
    <w:rsid w:val="00855A94"/>
    <w:rsid w:val="00884F13"/>
    <w:rsid w:val="008B78C4"/>
    <w:rsid w:val="009334EC"/>
    <w:rsid w:val="0099624C"/>
    <w:rsid w:val="00A267AB"/>
    <w:rsid w:val="00A45463"/>
    <w:rsid w:val="00A7621F"/>
    <w:rsid w:val="00AB3814"/>
    <w:rsid w:val="00BA422B"/>
    <w:rsid w:val="00BE185C"/>
    <w:rsid w:val="00C15E52"/>
    <w:rsid w:val="00CA25D9"/>
    <w:rsid w:val="00CA6CBE"/>
    <w:rsid w:val="00CB0853"/>
    <w:rsid w:val="00CD6261"/>
    <w:rsid w:val="00DA48D4"/>
    <w:rsid w:val="00DE0B71"/>
    <w:rsid w:val="00E05387"/>
    <w:rsid w:val="00E92E8F"/>
    <w:rsid w:val="00EA7976"/>
    <w:rsid w:val="00EF2C7E"/>
    <w:rsid w:val="00F30DAB"/>
    <w:rsid w:val="00F40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2FD45"/>
  <w15:docId w15:val="{20561334-EFCC-4F93-8EE6-614A4B084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eastAsia="Garamond" w:hAnsi="Garamond" w:cs="Garamond"/>
    </w:rPr>
  </w:style>
  <w:style w:type="paragraph" w:styleId="Heading1">
    <w:name w:val="heading 1"/>
    <w:basedOn w:val="Normal"/>
    <w:uiPriority w:val="9"/>
    <w:qFormat/>
    <w:pPr>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right="187" w:hanging="361"/>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CD6261"/>
    <w:rPr>
      <w:sz w:val="20"/>
      <w:szCs w:val="20"/>
    </w:rPr>
  </w:style>
  <w:style w:type="character" w:customStyle="1" w:styleId="FootnoteTextChar">
    <w:name w:val="Footnote Text Char"/>
    <w:basedOn w:val="DefaultParagraphFont"/>
    <w:link w:val="FootnoteText"/>
    <w:uiPriority w:val="99"/>
    <w:semiHidden/>
    <w:rsid w:val="00CD6261"/>
    <w:rPr>
      <w:rFonts w:ascii="Garamond" w:eastAsia="Garamond" w:hAnsi="Garamond" w:cs="Garamond"/>
      <w:sz w:val="20"/>
      <w:szCs w:val="20"/>
    </w:rPr>
  </w:style>
  <w:style w:type="character" w:styleId="FootnoteReference">
    <w:name w:val="footnote reference"/>
    <w:basedOn w:val="DefaultParagraphFont"/>
    <w:uiPriority w:val="99"/>
    <w:semiHidden/>
    <w:unhideWhenUsed/>
    <w:rsid w:val="00CD6261"/>
    <w:rPr>
      <w:vertAlign w:val="superscript"/>
    </w:rPr>
  </w:style>
  <w:style w:type="character" w:styleId="Hyperlink">
    <w:name w:val="Hyperlink"/>
    <w:basedOn w:val="DefaultParagraphFont"/>
    <w:uiPriority w:val="99"/>
    <w:unhideWhenUsed/>
    <w:rsid w:val="00CD6261"/>
    <w:rPr>
      <w:color w:val="0000FF" w:themeColor="hyperlink"/>
      <w:u w:val="single"/>
    </w:rPr>
  </w:style>
  <w:style w:type="character" w:styleId="UnresolvedMention">
    <w:name w:val="Unresolved Mention"/>
    <w:basedOn w:val="DefaultParagraphFont"/>
    <w:uiPriority w:val="99"/>
    <w:semiHidden/>
    <w:unhideWhenUsed/>
    <w:rsid w:val="00CD6261"/>
    <w:rPr>
      <w:color w:val="605E5C"/>
      <w:shd w:val="clear" w:color="auto" w:fill="E1DFDD"/>
    </w:rPr>
  </w:style>
  <w:style w:type="character" w:styleId="FollowedHyperlink">
    <w:name w:val="FollowedHyperlink"/>
    <w:basedOn w:val="DefaultParagraphFont"/>
    <w:uiPriority w:val="99"/>
    <w:semiHidden/>
    <w:unhideWhenUsed/>
    <w:rsid w:val="00CD62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publicservice.vermont.gov/document/2020-vermont-single-family-new-construction-baseline-study" TargetMode="External"/><Relationship Id="rId2" Type="http://schemas.openxmlformats.org/officeDocument/2006/relationships/hyperlink" Target="https://publicservice.vermont.gov/document/2020-vermont-multifamily-residential-baseline-study" TargetMode="External"/><Relationship Id="rId1" Type="http://schemas.openxmlformats.org/officeDocument/2006/relationships/hyperlink" Target="https://publicservice.vermont.gov/document/2020-vermont-single-family-existing-homes-baseline-study" TargetMode="External"/><Relationship Id="rId4" Type="http://schemas.openxmlformats.org/officeDocument/2006/relationships/hyperlink" Target="https://www.ethree.com/wp-content/uploads/2019/04/E3_Residential_Building_Electrification_in_California_April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4A1DC-0C55-4DE0-877C-8AF405001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3929</Words>
  <Characters>22399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Plummer</dc:creator>
  <cp:lastModifiedBy>Zachary Ross</cp:lastModifiedBy>
  <cp:revision>2</cp:revision>
  <dcterms:created xsi:type="dcterms:W3CDTF">2024-08-15T16:00:00Z</dcterms:created>
  <dcterms:modified xsi:type="dcterms:W3CDTF">2024-08-15T16:00:00Z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2024-08-12T00:00:00Z</vt:filetime>
  </property>
  <property fmtid="{D5CDD505-2E9C-101B-9397-08002B2CF9AE}" pid="3" name="LastSaved">
    <vt:filetime>2024-08-13T00:00:00Z</vt:filetime>
  </property>
</Properties>
</file>