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077B4" w14:textId="34FC7265" w:rsidR="00C05671" w:rsidRPr="00617676" w:rsidRDefault="00617676" w:rsidP="00617676">
      <w:pPr>
        <w:jc w:val="center"/>
        <w:rPr>
          <w:rFonts w:asciiTheme="majorHAnsi" w:hAnsiTheme="majorHAnsi" w:cstheme="majorHAnsi"/>
          <w:sz w:val="32"/>
          <w:szCs w:val="32"/>
        </w:rPr>
      </w:pPr>
      <w:r w:rsidRPr="00617676">
        <w:rPr>
          <w:rFonts w:asciiTheme="majorHAnsi" w:hAnsiTheme="majorHAnsi" w:cstheme="majorHAnsi"/>
          <w:sz w:val="32"/>
          <w:szCs w:val="32"/>
        </w:rPr>
        <w:t>Clean Heat Standard</w:t>
      </w:r>
    </w:p>
    <w:p w14:paraId="09CE63AD" w14:textId="039A25C9" w:rsidR="00617676" w:rsidRPr="00617676" w:rsidRDefault="00617676" w:rsidP="00617676">
      <w:pPr>
        <w:jc w:val="center"/>
        <w:rPr>
          <w:rFonts w:asciiTheme="majorHAnsi" w:hAnsiTheme="majorHAnsi" w:cstheme="majorHAnsi"/>
          <w:sz w:val="32"/>
          <w:szCs w:val="32"/>
        </w:rPr>
      </w:pPr>
      <w:r w:rsidRPr="00617676">
        <w:rPr>
          <w:rFonts w:asciiTheme="majorHAnsi" w:hAnsiTheme="majorHAnsi" w:cstheme="majorHAnsi"/>
          <w:sz w:val="32"/>
          <w:szCs w:val="32"/>
        </w:rPr>
        <w:t>Technical Advisory Group</w:t>
      </w:r>
    </w:p>
    <w:p w14:paraId="788D96E7" w14:textId="24A093E3" w:rsidR="00617676" w:rsidRDefault="009A3FF2" w:rsidP="009A3FF2">
      <w:pPr>
        <w:jc w:val="center"/>
        <w:rPr>
          <w:rFonts w:ascii="Garamond" w:hAnsi="Garamond"/>
        </w:rPr>
      </w:pPr>
      <w:r>
        <w:rPr>
          <w:rFonts w:ascii="Garamond" w:hAnsi="Garamond"/>
        </w:rPr>
        <w:t>Draft, 2</w:t>
      </w:r>
      <w:r w:rsidR="007A77D5">
        <w:rPr>
          <w:rFonts w:ascii="Garamond" w:hAnsi="Garamond"/>
        </w:rPr>
        <w:t xml:space="preserve">1 </w:t>
      </w:r>
      <w:r>
        <w:rPr>
          <w:rFonts w:ascii="Garamond" w:hAnsi="Garamond"/>
        </w:rPr>
        <w:t>August 2024</w:t>
      </w:r>
    </w:p>
    <w:p w14:paraId="1EAB41B0" w14:textId="77777777" w:rsidR="009A3FF2" w:rsidRDefault="009A3FF2" w:rsidP="00617676">
      <w:pPr>
        <w:rPr>
          <w:rFonts w:ascii="Garamond" w:hAnsi="Garamond"/>
        </w:rPr>
      </w:pPr>
    </w:p>
    <w:p w14:paraId="249E0FBD" w14:textId="1E8F01A8" w:rsidR="00617676" w:rsidRDefault="00617676" w:rsidP="00617676">
      <w:pPr>
        <w:rPr>
          <w:rFonts w:ascii="Garamond" w:hAnsi="Garamond"/>
        </w:rPr>
      </w:pPr>
      <w:r>
        <w:rPr>
          <w:rFonts w:ascii="Garamond" w:hAnsi="Garamond"/>
        </w:rPr>
        <w:t xml:space="preserve">Statement of the </w:t>
      </w:r>
      <w:r w:rsidR="005230EE">
        <w:rPr>
          <w:rFonts w:ascii="Garamond" w:hAnsi="Garamond"/>
        </w:rPr>
        <w:t>Technical Advisory Group (</w:t>
      </w:r>
      <w:r>
        <w:rPr>
          <w:rFonts w:ascii="Garamond" w:hAnsi="Garamond"/>
        </w:rPr>
        <w:t>TAG</w:t>
      </w:r>
      <w:r w:rsidR="005230EE">
        <w:rPr>
          <w:rFonts w:ascii="Garamond" w:hAnsi="Garamond"/>
        </w:rPr>
        <w:t>)</w:t>
      </w:r>
      <w:r>
        <w:rPr>
          <w:rFonts w:ascii="Garamond" w:hAnsi="Garamond"/>
        </w:rPr>
        <w:t xml:space="preserve"> on</w:t>
      </w:r>
      <w:r w:rsidR="00027B7E">
        <w:rPr>
          <w:rFonts w:ascii="Garamond" w:hAnsi="Garamond"/>
        </w:rPr>
        <w:t>,</w:t>
      </w:r>
      <w:r w:rsidR="009A3FF2">
        <w:rPr>
          <w:rFonts w:ascii="Garamond" w:hAnsi="Garamond"/>
        </w:rPr>
        <w:t xml:space="preserve"> </w:t>
      </w:r>
      <w:r w:rsidR="00027B7E">
        <w:rPr>
          <w:rFonts w:ascii="Garamond" w:hAnsi="Garamond"/>
        </w:rPr>
        <w:t>(1)</w:t>
      </w:r>
      <w:r w:rsidR="009A3FF2">
        <w:rPr>
          <w:rFonts w:ascii="Garamond" w:hAnsi="Garamond"/>
        </w:rPr>
        <w:t>,</w:t>
      </w:r>
      <w:r>
        <w:rPr>
          <w:rFonts w:ascii="Garamond" w:hAnsi="Garamond"/>
        </w:rPr>
        <w:t xml:space="preserve"> </w:t>
      </w:r>
      <w:r w:rsidR="00026F0B">
        <w:rPr>
          <w:rFonts w:ascii="Garamond" w:hAnsi="Garamond"/>
        </w:rPr>
        <w:t xml:space="preserve">coordination of the Clean Heat Standard </w:t>
      </w:r>
      <w:r w:rsidR="008A0596">
        <w:rPr>
          <w:rFonts w:ascii="Garamond" w:hAnsi="Garamond"/>
        </w:rPr>
        <w:t xml:space="preserve">(CHS) </w:t>
      </w:r>
      <w:r w:rsidR="00026F0B">
        <w:rPr>
          <w:rFonts w:ascii="Garamond" w:hAnsi="Garamond"/>
        </w:rPr>
        <w:t>with other programs</w:t>
      </w:r>
      <w:r w:rsidR="004D0C31">
        <w:rPr>
          <w:rFonts w:ascii="Garamond" w:hAnsi="Garamond"/>
        </w:rPr>
        <w:t xml:space="preserve">, </w:t>
      </w:r>
      <w:r w:rsidR="00027B7E">
        <w:rPr>
          <w:rFonts w:ascii="Garamond" w:hAnsi="Garamond"/>
        </w:rPr>
        <w:t>(2)</w:t>
      </w:r>
      <w:r w:rsidR="004D0C31">
        <w:rPr>
          <w:rFonts w:ascii="Garamond" w:hAnsi="Garamond"/>
        </w:rPr>
        <w:t xml:space="preserve">, adjusting credit values </w:t>
      </w:r>
      <w:r w:rsidR="00027B7E">
        <w:rPr>
          <w:rFonts w:ascii="Garamond" w:hAnsi="Garamond"/>
        </w:rPr>
        <w:t xml:space="preserve">of clean heat measures </w:t>
      </w:r>
      <w:r w:rsidR="004D0C31">
        <w:rPr>
          <w:rFonts w:ascii="Garamond" w:hAnsi="Garamond"/>
        </w:rPr>
        <w:t>over time so as to not double-count emissions reductions,</w:t>
      </w:r>
      <w:r w:rsidR="009A3FF2">
        <w:rPr>
          <w:rFonts w:ascii="Garamond" w:hAnsi="Garamond"/>
        </w:rPr>
        <w:t xml:space="preserve"> and, </w:t>
      </w:r>
      <w:r w:rsidR="00027B7E">
        <w:rPr>
          <w:rFonts w:ascii="Garamond" w:hAnsi="Garamond"/>
        </w:rPr>
        <w:t>(3)</w:t>
      </w:r>
      <w:r w:rsidR="009A3FF2">
        <w:rPr>
          <w:rFonts w:ascii="Garamond" w:hAnsi="Garamond"/>
        </w:rPr>
        <w:t xml:space="preserve">, </w:t>
      </w:r>
      <w:r w:rsidR="009A3FF2" w:rsidRPr="009A3FF2">
        <w:rPr>
          <w:rFonts w:ascii="Garamond" w:hAnsi="Garamond"/>
        </w:rPr>
        <w:t>coordinating with the Agency of Natural Resources to ensure that greenhouse gas emissions reductions achieved in another sector through the</w:t>
      </w:r>
      <w:r w:rsidR="009A3FF2">
        <w:rPr>
          <w:rFonts w:ascii="Garamond" w:hAnsi="Garamond"/>
        </w:rPr>
        <w:t xml:space="preserve"> </w:t>
      </w:r>
      <w:r w:rsidR="009A3FF2" w:rsidRPr="009A3FF2">
        <w:rPr>
          <w:rFonts w:ascii="Garamond" w:hAnsi="Garamond"/>
        </w:rPr>
        <w:t>implementation of the Clean Heat Standard are not double-counted in the</w:t>
      </w:r>
      <w:r w:rsidR="009A3FF2">
        <w:rPr>
          <w:rFonts w:ascii="Garamond" w:hAnsi="Garamond"/>
        </w:rPr>
        <w:t xml:space="preserve"> </w:t>
      </w:r>
      <w:r w:rsidR="009A3FF2" w:rsidRPr="009A3FF2">
        <w:rPr>
          <w:rFonts w:ascii="Garamond" w:hAnsi="Garamond"/>
        </w:rPr>
        <w:t>Vermont Greenhouse Gas Emissions Inventory and Forecast</w:t>
      </w:r>
      <w:r w:rsidR="009A3FF2">
        <w:rPr>
          <w:rFonts w:ascii="Garamond" w:hAnsi="Garamond"/>
        </w:rPr>
        <w:t>.</w:t>
      </w:r>
    </w:p>
    <w:p w14:paraId="7D8BBDD7" w14:textId="36DA64A2" w:rsidR="00BB2678" w:rsidRDefault="00BB2678" w:rsidP="00617676">
      <w:pPr>
        <w:rPr>
          <w:rFonts w:ascii="Garamond" w:hAnsi="Garamond"/>
        </w:rPr>
      </w:pPr>
    </w:p>
    <w:p w14:paraId="60D7600B" w14:textId="2770EC28" w:rsidR="00156DDC" w:rsidRPr="009A3FF2" w:rsidRDefault="009A3FF2">
      <w:pPr>
        <w:rPr>
          <w:rFonts w:ascii="Garamond" w:hAnsi="Garamond"/>
          <w:u w:val="single"/>
        </w:rPr>
      </w:pPr>
      <w:r>
        <w:rPr>
          <w:rFonts w:ascii="Garamond" w:hAnsi="Garamond"/>
          <w:u w:val="single"/>
        </w:rPr>
        <w:t>A. Coordination of the CHS with Other Progra</w:t>
      </w:r>
      <w:r w:rsidR="009D5140">
        <w:rPr>
          <w:rFonts w:ascii="Garamond" w:hAnsi="Garamond"/>
          <w:u w:val="single"/>
        </w:rPr>
        <w:t xml:space="preserve">ms pursuant to </w:t>
      </w:r>
      <w:r w:rsidR="009D5140" w:rsidRPr="009D5140">
        <w:rPr>
          <w:rFonts w:ascii="Garamond" w:hAnsi="Garamond"/>
          <w:u w:val="single"/>
        </w:rPr>
        <w:t>30 VSA §§8128(a)(6)</w:t>
      </w:r>
    </w:p>
    <w:p w14:paraId="78613F28" w14:textId="0C3E9A7B" w:rsidR="00026F0B" w:rsidRDefault="00AA289E">
      <w:pPr>
        <w:rPr>
          <w:rFonts w:ascii="Garamond" w:hAnsi="Garamond"/>
        </w:rPr>
      </w:pPr>
      <w:r>
        <w:rPr>
          <w:rFonts w:ascii="Garamond" w:hAnsi="Garamond"/>
        </w:rPr>
        <w:t>Act 18 states that “</w:t>
      </w:r>
      <w:r w:rsidRPr="00AA289E">
        <w:rPr>
          <w:rFonts w:ascii="Garamond" w:hAnsi="Garamond"/>
        </w:rPr>
        <w:t>All eligible clean heat measures that are delivered in Vermont beginning on January 1, 2023</w:t>
      </w:r>
      <w:r>
        <w:rPr>
          <w:rFonts w:ascii="Garamond" w:hAnsi="Garamond"/>
        </w:rPr>
        <w:t>,</w:t>
      </w:r>
      <w:r w:rsidRPr="00AA289E">
        <w:rPr>
          <w:rFonts w:ascii="Garamond" w:hAnsi="Garamond"/>
        </w:rPr>
        <w:t xml:space="preserve"> shall be eligible for clean heat credits and may be retired and count towards an obligated party’s emission reduction obligations, regardless of who creates or delivers them and regardless of whether their creation or delivery was required or funded in whole or in part by other federal or State policies and programs.</w:t>
      </w:r>
      <w:r>
        <w:rPr>
          <w:rFonts w:ascii="Garamond" w:hAnsi="Garamond"/>
        </w:rPr>
        <w:t>”</w:t>
      </w:r>
      <w:r w:rsidR="00E75A1D">
        <w:rPr>
          <w:rStyle w:val="FootnoteReference"/>
          <w:rFonts w:ascii="Garamond" w:hAnsi="Garamond"/>
        </w:rPr>
        <w:footnoteReference w:id="1"/>
      </w:r>
    </w:p>
    <w:p w14:paraId="114DB5BE" w14:textId="77777777" w:rsidR="00026F0B" w:rsidRDefault="00026F0B">
      <w:pPr>
        <w:rPr>
          <w:rFonts w:ascii="Garamond" w:hAnsi="Garamond"/>
        </w:rPr>
      </w:pPr>
    </w:p>
    <w:p w14:paraId="65E5D805" w14:textId="22508974" w:rsidR="008A0596" w:rsidRDefault="00AA289E">
      <w:pPr>
        <w:rPr>
          <w:rFonts w:ascii="Garamond" w:hAnsi="Garamond"/>
        </w:rPr>
      </w:pPr>
      <w:r>
        <w:rPr>
          <w:rFonts w:ascii="Garamond" w:hAnsi="Garamond"/>
        </w:rPr>
        <w:t>The TAG is tasked with “facilitating the [CHS’s] coordination with other programs”</w:t>
      </w:r>
      <w:r w:rsidR="004D0C31" w:rsidRPr="004D0C31">
        <w:rPr>
          <w:rStyle w:val="FootnoteReference"/>
          <w:rFonts w:ascii="Garamond" w:hAnsi="Garamond"/>
        </w:rPr>
        <w:t xml:space="preserve"> </w:t>
      </w:r>
      <w:r w:rsidR="004D0C31">
        <w:rPr>
          <w:rStyle w:val="FootnoteReference"/>
          <w:rFonts w:ascii="Garamond" w:hAnsi="Garamond"/>
        </w:rPr>
        <w:footnoteReference w:id="2"/>
      </w:r>
      <w:r>
        <w:rPr>
          <w:rFonts w:ascii="Garamond" w:hAnsi="Garamond"/>
        </w:rPr>
        <w:t xml:space="preserve"> eligible to earn clean heat credits, which we interpret to mean advising the Vermont Public Utility Commission on opportunities for coordination, obstacles to coordination, and recommendations for improving coordination </w:t>
      </w:r>
      <w:r w:rsidR="00722D3D">
        <w:rPr>
          <w:rFonts w:ascii="Garamond" w:hAnsi="Garamond"/>
        </w:rPr>
        <w:t>among</w:t>
      </w:r>
      <w:r>
        <w:rPr>
          <w:rFonts w:ascii="Garamond" w:hAnsi="Garamond"/>
        </w:rPr>
        <w:t xml:space="preserve"> the affected programs.</w:t>
      </w:r>
    </w:p>
    <w:p w14:paraId="535E2AC8" w14:textId="77777777" w:rsidR="008A0596" w:rsidRDefault="008A0596">
      <w:pPr>
        <w:rPr>
          <w:rFonts w:ascii="Garamond" w:hAnsi="Garamond"/>
        </w:rPr>
      </w:pPr>
    </w:p>
    <w:p w14:paraId="14153ED7" w14:textId="45721E14" w:rsidR="000972B1" w:rsidRDefault="008A0596">
      <w:pPr>
        <w:rPr>
          <w:rFonts w:ascii="Garamond" w:hAnsi="Garamond"/>
        </w:rPr>
      </w:pPr>
      <w:r>
        <w:rPr>
          <w:rFonts w:ascii="Garamond" w:hAnsi="Garamond"/>
        </w:rPr>
        <w:t xml:space="preserve">We begin by describing the overarching principles that guide our consideration. The CHS should not harm the implementation of, and value created by, other programs delivering energy services to Vermont customers. The CHS should complement, support, and increase </w:t>
      </w:r>
      <w:r w:rsidR="000972B1">
        <w:rPr>
          <w:rFonts w:ascii="Garamond" w:hAnsi="Garamond"/>
        </w:rPr>
        <w:t xml:space="preserve">the </w:t>
      </w:r>
      <w:r>
        <w:rPr>
          <w:rFonts w:ascii="Garamond" w:hAnsi="Garamond"/>
        </w:rPr>
        <w:t>beneficial impacts of other programs.</w:t>
      </w:r>
    </w:p>
    <w:p w14:paraId="5C28E306" w14:textId="77777777" w:rsidR="000972B1" w:rsidRDefault="000972B1">
      <w:pPr>
        <w:rPr>
          <w:rFonts w:ascii="Garamond" w:hAnsi="Garamond"/>
        </w:rPr>
      </w:pPr>
    </w:p>
    <w:p w14:paraId="168BAA4D" w14:textId="19BF1140" w:rsidR="00026F0B" w:rsidRDefault="000972B1">
      <w:pPr>
        <w:rPr>
          <w:rFonts w:ascii="Garamond" w:hAnsi="Garamond"/>
        </w:rPr>
      </w:pPr>
      <w:r>
        <w:rPr>
          <w:rFonts w:ascii="Garamond" w:hAnsi="Garamond"/>
        </w:rPr>
        <w:t xml:space="preserve">We see </w:t>
      </w:r>
      <w:r w:rsidR="00EE1648">
        <w:rPr>
          <w:rFonts w:ascii="Garamond" w:hAnsi="Garamond"/>
        </w:rPr>
        <w:t>at least two dimensions of coordination</w:t>
      </w:r>
      <w:r>
        <w:rPr>
          <w:rFonts w:ascii="Garamond" w:hAnsi="Garamond"/>
        </w:rPr>
        <w:t xml:space="preserve">. One is informational, which has to do with understanding the impacts of the various programs and how they can affect CHS design and emissions reductions targets. Consistency of data, assumptions, and analytical methods among the programs will be critical. The second </w:t>
      </w:r>
      <w:r w:rsidR="00722D3D">
        <w:rPr>
          <w:rFonts w:ascii="Garamond" w:hAnsi="Garamond"/>
        </w:rPr>
        <w:t>is</w:t>
      </w:r>
      <w:r>
        <w:rPr>
          <w:rFonts w:ascii="Garamond" w:hAnsi="Garamond"/>
        </w:rPr>
        <w:t xml:space="preserve"> </w:t>
      </w:r>
      <w:proofErr w:type="gramStart"/>
      <w:r>
        <w:rPr>
          <w:rFonts w:ascii="Garamond" w:hAnsi="Garamond"/>
        </w:rPr>
        <w:t>administrati</w:t>
      </w:r>
      <w:r w:rsidR="00722D3D">
        <w:rPr>
          <w:rFonts w:ascii="Garamond" w:hAnsi="Garamond"/>
        </w:rPr>
        <w:t>ve</w:t>
      </w:r>
      <w:r>
        <w:rPr>
          <w:rFonts w:ascii="Garamond" w:hAnsi="Garamond"/>
        </w:rPr>
        <w:t>—</w:t>
      </w:r>
      <w:r w:rsidR="001C737B" w:rsidRPr="001C737B">
        <w:rPr>
          <w:rFonts w:ascii="Garamond" w:hAnsi="Garamond"/>
        </w:rPr>
        <w:t>recognizing</w:t>
      </w:r>
      <w:proofErr w:type="gramEnd"/>
      <w:r>
        <w:rPr>
          <w:rFonts w:ascii="Garamond" w:hAnsi="Garamond"/>
        </w:rPr>
        <w:t xml:space="preserve"> how the</w:t>
      </w:r>
      <w:r w:rsidR="00722D3D">
        <w:rPr>
          <w:rFonts w:ascii="Garamond" w:hAnsi="Garamond"/>
        </w:rPr>
        <w:t xml:space="preserve"> various programs</w:t>
      </w:r>
      <w:r>
        <w:rPr>
          <w:rFonts w:ascii="Garamond" w:hAnsi="Garamond"/>
        </w:rPr>
        <w:t xml:space="preserve"> work together (or </w:t>
      </w:r>
      <w:r w:rsidR="001C737B">
        <w:rPr>
          <w:rFonts w:ascii="Garamond" w:hAnsi="Garamond"/>
        </w:rPr>
        <w:t>don’t</w:t>
      </w:r>
      <w:r>
        <w:rPr>
          <w:rFonts w:ascii="Garamond" w:hAnsi="Garamond"/>
        </w:rPr>
        <w:t>) and finding ways to enhance their efficiency and efficacy.</w:t>
      </w:r>
    </w:p>
    <w:p w14:paraId="2B4948DB" w14:textId="77777777" w:rsidR="008A0596" w:rsidRDefault="008A0596">
      <w:pPr>
        <w:rPr>
          <w:rFonts w:ascii="Garamond" w:hAnsi="Garamond"/>
        </w:rPr>
      </w:pPr>
    </w:p>
    <w:p w14:paraId="3C111056" w14:textId="6F92C4B3" w:rsidR="005762EB" w:rsidRPr="005762EB" w:rsidRDefault="005762EB" w:rsidP="005762EB">
      <w:pPr>
        <w:rPr>
          <w:rFonts w:ascii="Garamond" w:hAnsi="Garamond"/>
          <w:u w:val="single"/>
        </w:rPr>
      </w:pPr>
      <w:r w:rsidRPr="005762EB">
        <w:rPr>
          <w:rFonts w:ascii="Garamond" w:hAnsi="Garamond"/>
        </w:rPr>
        <w:tab/>
      </w:r>
      <w:r w:rsidRPr="005762EB">
        <w:rPr>
          <w:rFonts w:ascii="Garamond" w:hAnsi="Garamond"/>
          <w:u w:val="single"/>
        </w:rPr>
        <w:t>1. Information</w:t>
      </w:r>
    </w:p>
    <w:p w14:paraId="0C320D7F" w14:textId="6E8E3705" w:rsidR="008A0596" w:rsidRDefault="008A0596">
      <w:pPr>
        <w:rPr>
          <w:rFonts w:ascii="Garamond" w:hAnsi="Garamond"/>
        </w:rPr>
      </w:pPr>
      <w:r>
        <w:rPr>
          <w:rFonts w:ascii="Garamond" w:hAnsi="Garamond"/>
        </w:rPr>
        <w:t xml:space="preserve">A first step, then, is to identify other programs delivering eligible clean heat measures and develop an accounting of their annual greenhouse gas (GHG) emissions reductions. </w:t>
      </w:r>
      <w:r w:rsidR="00FD1ABD">
        <w:rPr>
          <w:rFonts w:ascii="Garamond" w:hAnsi="Garamond"/>
        </w:rPr>
        <w:t>Act 18 identifies three such programs</w:t>
      </w:r>
      <w:r w:rsidR="00223634">
        <w:rPr>
          <w:rFonts w:ascii="Garamond" w:hAnsi="Garamond"/>
        </w:rPr>
        <w:t>—</w:t>
      </w:r>
      <w:r w:rsidR="00FD1ABD">
        <w:rPr>
          <w:rFonts w:ascii="Garamond" w:hAnsi="Garamond"/>
        </w:rPr>
        <w:t xml:space="preserve">Vermont’s </w:t>
      </w:r>
      <w:r w:rsidR="00FD1ABD" w:rsidRPr="00FD1ABD">
        <w:rPr>
          <w:rFonts w:ascii="Garamond" w:hAnsi="Garamond"/>
        </w:rPr>
        <w:t>energy efficiency programs, the low-income weatherization program, and the Renewable Energy Standard Tier 3 program</w:t>
      </w:r>
      <w:r w:rsidR="00223634">
        <w:rPr>
          <w:rFonts w:ascii="Garamond" w:hAnsi="Garamond"/>
        </w:rPr>
        <w:t>—but the list is not intended to be exhaustive.</w:t>
      </w:r>
    </w:p>
    <w:p w14:paraId="667CE719" w14:textId="77777777" w:rsidR="00223634" w:rsidRDefault="00223634">
      <w:pPr>
        <w:rPr>
          <w:rFonts w:ascii="Garamond" w:hAnsi="Garamond"/>
        </w:rPr>
      </w:pPr>
    </w:p>
    <w:p w14:paraId="71C21F9B" w14:textId="5FAF96F4" w:rsidR="00223634" w:rsidRDefault="00223634">
      <w:pPr>
        <w:rPr>
          <w:rFonts w:ascii="Garamond" w:hAnsi="Garamond"/>
        </w:rPr>
      </w:pPr>
      <w:r>
        <w:rPr>
          <w:rFonts w:ascii="Garamond" w:hAnsi="Garamond"/>
        </w:rPr>
        <w:t>The accounting of the GHG reductions that such programs achiev</w:t>
      </w:r>
      <w:r w:rsidR="00497830">
        <w:rPr>
          <w:rFonts w:ascii="Garamond" w:hAnsi="Garamond"/>
        </w:rPr>
        <w:t>e</w:t>
      </w:r>
      <w:r>
        <w:rPr>
          <w:rFonts w:ascii="Garamond" w:hAnsi="Garamond"/>
        </w:rPr>
        <w:t xml:space="preserve"> will, when compared to the annual targets for the RCI sector mandated by the Global Warming Solutions Act, reveal the magnitude of incremental reductions </w:t>
      </w:r>
      <w:r w:rsidR="0005030D">
        <w:rPr>
          <w:rFonts w:ascii="Garamond" w:hAnsi="Garamond"/>
        </w:rPr>
        <w:t xml:space="preserve">(i.e., “the gap”) </w:t>
      </w:r>
      <w:r>
        <w:rPr>
          <w:rFonts w:ascii="Garamond" w:hAnsi="Garamond"/>
        </w:rPr>
        <w:t xml:space="preserve">that the CHS will need to achieve. </w:t>
      </w:r>
      <w:r w:rsidR="00497830">
        <w:rPr>
          <w:rFonts w:ascii="Garamond" w:hAnsi="Garamond"/>
        </w:rPr>
        <w:t xml:space="preserve">Today, </w:t>
      </w:r>
      <w:r w:rsidR="00497830">
        <w:rPr>
          <w:rFonts w:ascii="Garamond" w:hAnsi="Garamond"/>
        </w:rPr>
        <w:lastRenderedPageBreak/>
        <w:t>t</w:t>
      </w:r>
      <w:r w:rsidR="00C944CB">
        <w:rPr>
          <w:rFonts w:ascii="Garamond" w:hAnsi="Garamond"/>
        </w:rPr>
        <w:t xml:space="preserve">he </w:t>
      </w:r>
      <w:r w:rsidR="00497830">
        <w:rPr>
          <w:rFonts w:ascii="Garamond" w:hAnsi="Garamond"/>
        </w:rPr>
        <w:t xml:space="preserve">energy </w:t>
      </w:r>
      <w:r w:rsidR="00C944CB">
        <w:rPr>
          <w:rFonts w:ascii="Garamond" w:hAnsi="Garamond"/>
        </w:rPr>
        <w:t xml:space="preserve">efficiency and Tier 3 </w:t>
      </w:r>
      <w:r w:rsidR="00497830">
        <w:rPr>
          <w:rFonts w:ascii="Garamond" w:hAnsi="Garamond"/>
        </w:rPr>
        <w:t xml:space="preserve">programs </w:t>
      </w:r>
      <w:r w:rsidR="00C944CB">
        <w:rPr>
          <w:rFonts w:ascii="Garamond" w:hAnsi="Garamond"/>
        </w:rPr>
        <w:t xml:space="preserve">file annual reports of energy savings and estimates of GHG reductions, which are calculated </w:t>
      </w:r>
      <w:r>
        <w:rPr>
          <w:rFonts w:ascii="Garamond" w:hAnsi="Garamond"/>
        </w:rPr>
        <w:t>based on the measure characterizations in their respective technical resource manuals (TRMs). It is critical, therefore, that the TRMs for the</w:t>
      </w:r>
      <w:r w:rsidR="00497830">
        <w:rPr>
          <w:rFonts w:ascii="Garamond" w:hAnsi="Garamond"/>
        </w:rPr>
        <w:t xml:space="preserve">se programs </w:t>
      </w:r>
      <w:r w:rsidR="0005030D">
        <w:rPr>
          <w:rFonts w:ascii="Garamond" w:hAnsi="Garamond"/>
        </w:rPr>
        <w:t xml:space="preserve">and </w:t>
      </w:r>
      <w:r w:rsidR="00497830">
        <w:rPr>
          <w:rFonts w:ascii="Garamond" w:hAnsi="Garamond"/>
        </w:rPr>
        <w:t xml:space="preserve">that of </w:t>
      </w:r>
      <w:r w:rsidR="0005030D">
        <w:rPr>
          <w:rFonts w:ascii="Garamond" w:hAnsi="Garamond"/>
        </w:rPr>
        <w:t>the CHS</w:t>
      </w:r>
      <w:r>
        <w:rPr>
          <w:rFonts w:ascii="Garamond" w:hAnsi="Garamond"/>
        </w:rPr>
        <w:t xml:space="preserve"> </w:t>
      </w:r>
      <w:r w:rsidR="00497830">
        <w:rPr>
          <w:rFonts w:ascii="Garamond" w:hAnsi="Garamond"/>
        </w:rPr>
        <w:t>be</w:t>
      </w:r>
      <w:r>
        <w:rPr>
          <w:rFonts w:ascii="Garamond" w:hAnsi="Garamond"/>
        </w:rPr>
        <w:t xml:space="preserve"> consistent with each other.</w:t>
      </w:r>
      <w:r w:rsidR="00C944CB">
        <w:rPr>
          <w:rFonts w:ascii="Garamond" w:hAnsi="Garamond"/>
        </w:rPr>
        <w:t xml:space="preserve"> The emissions reductions of weatherization measures are currently under development for the CHS TRM</w:t>
      </w:r>
      <w:r w:rsidR="00AA1853">
        <w:rPr>
          <w:rFonts w:ascii="Garamond" w:hAnsi="Garamond"/>
        </w:rPr>
        <w:t xml:space="preserve">; these estimates, in combination with </w:t>
      </w:r>
      <w:r w:rsidR="00AB0A14">
        <w:rPr>
          <w:rFonts w:ascii="Garamond" w:hAnsi="Garamond"/>
        </w:rPr>
        <w:t>data from the Office of Economic Opportunity (</w:t>
      </w:r>
      <w:r w:rsidR="00AA1853">
        <w:rPr>
          <w:rFonts w:ascii="Garamond" w:hAnsi="Garamond"/>
        </w:rPr>
        <w:t>OEO</w:t>
      </w:r>
      <w:r w:rsidR="00AB0A14">
        <w:rPr>
          <w:rFonts w:ascii="Garamond" w:hAnsi="Garamond"/>
        </w:rPr>
        <w:t>)</w:t>
      </w:r>
      <w:r w:rsidR="00AA1853">
        <w:rPr>
          <w:rFonts w:ascii="Garamond" w:hAnsi="Garamond"/>
        </w:rPr>
        <w:t xml:space="preserve"> on weatherization services delivered, can provide an annual GHG accounting for the weatherization programs.</w:t>
      </w:r>
    </w:p>
    <w:p w14:paraId="46F6C7D7" w14:textId="77777777" w:rsidR="0005030D" w:rsidRDefault="0005030D">
      <w:pPr>
        <w:rPr>
          <w:rFonts w:ascii="Garamond" w:hAnsi="Garamond"/>
        </w:rPr>
      </w:pPr>
    </w:p>
    <w:p w14:paraId="0C986387" w14:textId="7A477107" w:rsidR="0005030D" w:rsidRDefault="0071717D">
      <w:pPr>
        <w:rPr>
          <w:rFonts w:ascii="Garamond" w:hAnsi="Garamond"/>
        </w:rPr>
      </w:pPr>
      <w:r>
        <w:rPr>
          <w:rFonts w:ascii="Garamond" w:hAnsi="Garamond"/>
        </w:rPr>
        <w:t>This will create opportunities for coordinated planning among the programs and the DDA. And i</w:t>
      </w:r>
      <w:r w:rsidR="0005030D">
        <w:rPr>
          <w:rFonts w:ascii="Garamond" w:hAnsi="Garamond"/>
        </w:rPr>
        <w:t>t will be necessary to ensure consistency among the CHS TRM (and, by extension, the other TRMs) and the assumptions and data used by the Science and Data Subcommittee of the Vermont Climate Council.</w:t>
      </w:r>
    </w:p>
    <w:p w14:paraId="1D28759F" w14:textId="77777777" w:rsidR="00AA1853" w:rsidRDefault="00AA1853">
      <w:pPr>
        <w:rPr>
          <w:rFonts w:ascii="Garamond" w:hAnsi="Garamond"/>
        </w:rPr>
      </w:pPr>
    </w:p>
    <w:p w14:paraId="7607AA19" w14:textId="257F1715" w:rsidR="00AA1853" w:rsidRDefault="00AA1853">
      <w:pPr>
        <w:rPr>
          <w:rFonts w:ascii="Garamond" w:hAnsi="Garamond"/>
        </w:rPr>
      </w:pPr>
      <w:r>
        <w:rPr>
          <w:rFonts w:ascii="Garamond" w:hAnsi="Garamond"/>
        </w:rPr>
        <w:t xml:space="preserve">Other activities, especially any related to bio- and renewable fuels, will also need to be accounted for. </w:t>
      </w:r>
      <w:r w:rsidR="00EE1648">
        <w:rPr>
          <w:rFonts w:ascii="Garamond" w:hAnsi="Garamond"/>
        </w:rPr>
        <w:t>For example, entities that sell only bio- or renewable fuels are not obligated parties and therefore are not in the PUC registry. Accounting for them in the default delivery agent’s (DDA’s) budgeting will need to be addressed.</w:t>
      </w:r>
    </w:p>
    <w:p w14:paraId="35CDC64A" w14:textId="77777777" w:rsidR="00026F0B" w:rsidRDefault="00026F0B">
      <w:pPr>
        <w:rPr>
          <w:rFonts w:ascii="Garamond" w:hAnsi="Garamond"/>
        </w:rPr>
      </w:pPr>
    </w:p>
    <w:p w14:paraId="29399905" w14:textId="736EB667" w:rsidR="005762EB" w:rsidRPr="005762EB" w:rsidRDefault="005762EB">
      <w:pPr>
        <w:rPr>
          <w:rFonts w:ascii="Garamond" w:hAnsi="Garamond"/>
          <w:u w:val="single"/>
        </w:rPr>
      </w:pPr>
      <w:r>
        <w:rPr>
          <w:rFonts w:ascii="Garamond" w:hAnsi="Garamond"/>
        </w:rPr>
        <w:tab/>
      </w:r>
      <w:r w:rsidRPr="005762EB">
        <w:rPr>
          <w:rFonts w:ascii="Garamond" w:hAnsi="Garamond"/>
          <w:u w:val="single"/>
        </w:rPr>
        <w:t>2. Administration</w:t>
      </w:r>
    </w:p>
    <w:p w14:paraId="6A25EF60" w14:textId="686AB744" w:rsidR="005762EB" w:rsidRDefault="005762EB">
      <w:pPr>
        <w:rPr>
          <w:rFonts w:ascii="Garamond" w:hAnsi="Garamond"/>
        </w:rPr>
      </w:pPr>
      <w:r>
        <w:rPr>
          <w:rFonts w:ascii="Garamond" w:hAnsi="Garamond"/>
        </w:rPr>
        <w:t>The administration of the CHS should not impede</w:t>
      </w:r>
      <w:r w:rsidR="00AA426C">
        <w:rPr>
          <w:rFonts w:ascii="Garamond" w:hAnsi="Garamond"/>
        </w:rPr>
        <w:t>, but rather dovetail with,</w:t>
      </w:r>
      <w:r>
        <w:rPr>
          <w:rFonts w:ascii="Garamond" w:hAnsi="Garamond"/>
        </w:rPr>
        <w:t xml:space="preserve"> the administration of other programs</w:t>
      </w:r>
      <w:r w:rsidR="00AA426C">
        <w:rPr>
          <w:rFonts w:ascii="Garamond" w:hAnsi="Garamond"/>
        </w:rPr>
        <w:t xml:space="preserve">. Already there is significant coordination and shared infrastructure among efficiency, weatherization, and Tier 3 activities of which the CHS can take advantage. </w:t>
      </w:r>
      <w:r w:rsidR="00ED4877">
        <w:rPr>
          <w:rFonts w:ascii="Garamond" w:hAnsi="Garamond"/>
        </w:rPr>
        <w:t xml:space="preserve">We expect that significant components of this coordination will be addressed in the establishment and institutional structure of the DDA and in </w:t>
      </w:r>
      <w:proofErr w:type="gramStart"/>
      <w:r w:rsidR="00ED4877">
        <w:rPr>
          <w:rFonts w:ascii="Garamond" w:hAnsi="Garamond"/>
        </w:rPr>
        <w:t>the means by which</w:t>
      </w:r>
      <w:proofErr w:type="gramEnd"/>
      <w:r w:rsidR="00ED4877">
        <w:rPr>
          <w:rFonts w:ascii="Garamond" w:hAnsi="Garamond"/>
        </w:rPr>
        <w:t xml:space="preserve"> creditable activities are identified, “time-stamped,” and kept track of. A critical element of this is the question of initial credit ownership, a topic on which the TAG has already spoken. Ensuring that creditable activities</w:t>
      </w:r>
      <w:r w:rsidR="005B04B2">
        <w:rPr>
          <w:rFonts w:ascii="Garamond" w:hAnsi="Garamond"/>
        </w:rPr>
        <w:t xml:space="preserve"> earn only the credits they </w:t>
      </w:r>
      <w:proofErr w:type="gramStart"/>
      <w:r w:rsidR="00497830">
        <w:rPr>
          <w:rFonts w:ascii="Garamond" w:hAnsi="Garamond"/>
        </w:rPr>
        <w:t>actually create</w:t>
      </w:r>
      <w:proofErr w:type="gramEnd"/>
      <w:r w:rsidR="005B04B2">
        <w:rPr>
          <w:rFonts w:ascii="Garamond" w:hAnsi="Garamond"/>
        </w:rPr>
        <w:t>, no more nor less, so as to prevent the multiple counting of emissions reductions will be imperative.</w:t>
      </w:r>
    </w:p>
    <w:p w14:paraId="2EED8F11" w14:textId="77777777" w:rsidR="005762EB" w:rsidRDefault="005762EB">
      <w:pPr>
        <w:rPr>
          <w:rFonts w:ascii="Garamond" w:hAnsi="Garamond"/>
        </w:rPr>
      </w:pPr>
    </w:p>
    <w:p w14:paraId="640B32F2" w14:textId="4C5D3600" w:rsidR="00026F0B" w:rsidRDefault="005762EB">
      <w:pPr>
        <w:rPr>
          <w:rFonts w:ascii="Garamond" w:hAnsi="Garamond"/>
        </w:rPr>
      </w:pPr>
      <w:r>
        <w:rPr>
          <w:rFonts w:ascii="Garamond" w:hAnsi="Garamond"/>
        </w:rPr>
        <w:t>Other matters that may deserve attention at some point include the following:</w:t>
      </w:r>
    </w:p>
    <w:p w14:paraId="1122DF48" w14:textId="3E9B8D5C" w:rsidR="005762EB" w:rsidRDefault="005762EB" w:rsidP="005762EB">
      <w:pPr>
        <w:pStyle w:val="ListParagraph"/>
        <w:numPr>
          <w:ilvl w:val="0"/>
          <w:numId w:val="8"/>
        </w:numPr>
        <w:rPr>
          <w:rFonts w:ascii="Garamond" w:hAnsi="Garamond"/>
        </w:rPr>
      </w:pPr>
      <w:r>
        <w:rPr>
          <w:rFonts w:ascii="Garamond" w:hAnsi="Garamond"/>
        </w:rPr>
        <w:t>LIHEAP. The Low-Income Home Energy Assistance Program is likely to be affected by improved efficiency of energy use driven by the CHS.</w:t>
      </w:r>
    </w:p>
    <w:p w14:paraId="0DBAB35C" w14:textId="7EBDE35F" w:rsidR="008B05DB" w:rsidRDefault="008B05DB" w:rsidP="005762EB">
      <w:pPr>
        <w:pStyle w:val="ListParagraph"/>
        <w:numPr>
          <w:ilvl w:val="0"/>
          <w:numId w:val="8"/>
        </w:numPr>
        <w:rPr>
          <w:rFonts w:ascii="Garamond" w:hAnsi="Garamond"/>
        </w:rPr>
      </w:pPr>
      <w:r>
        <w:rPr>
          <w:rFonts w:ascii="Garamond" w:hAnsi="Garamond"/>
        </w:rPr>
        <w:t>Other federal programs, such as tax credits for installation of clean heat measures (e.g., heat pumps). Their emissions impacts should be accounted for, as described in the previous subsection, but there may also be program implementation questions that they raise.</w:t>
      </w:r>
    </w:p>
    <w:p w14:paraId="0FF0E1AA" w14:textId="3AF3604F" w:rsidR="008B05DB" w:rsidRPr="005762EB" w:rsidRDefault="008B05DB" w:rsidP="005762EB">
      <w:pPr>
        <w:pStyle w:val="ListParagraph"/>
        <w:numPr>
          <w:ilvl w:val="0"/>
          <w:numId w:val="8"/>
        </w:numPr>
        <w:rPr>
          <w:rFonts w:ascii="Garamond" w:hAnsi="Garamond"/>
        </w:rPr>
      </w:pPr>
      <w:r>
        <w:rPr>
          <w:rFonts w:ascii="Garamond" w:hAnsi="Garamond"/>
        </w:rPr>
        <w:t>Changes in building codes, for instance the possible adoption of a net-zero-ready requirement by 2030. Will compliance with the code produce CHS credits?</w:t>
      </w:r>
    </w:p>
    <w:p w14:paraId="691419F8" w14:textId="77777777" w:rsidR="00026F0B" w:rsidRDefault="00026F0B">
      <w:pPr>
        <w:rPr>
          <w:rFonts w:ascii="Garamond" w:hAnsi="Garamond"/>
        </w:rPr>
      </w:pPr>
    </w:p>
    <w:p w14:paraId="679FD3C5" w14:textId="5AED8936" w:rsidR="00026F0B" w:rsidRPr="00192946" w:rsidRDefault="00192946" w:rsidP="00192946">
      <w:pPr>
        <w:ind w:left="360"/>
        <w:rPr>
          <w:rFonts w:ascii="Garamond" w:hAnsi="Garamond"/>
          <w:u w:val="single"/>
        </w:rPr>
      </w:pPr>
      <w:r w:rsidRPr="00192946">
        <w:rPr>
          <w:rFonts w:ascii="Garamond" w:hAnsi="Garamond"/>
          <w:u w:val="single"/>
        </w:rPr>
        <w:t xml:space="preserve">3. </w:t>
      </w:r>
      <w:r>
        <w:rPr>
          <w:rFonts w:ascii="Garamond" w:hAnsi="Garamond"/>
          <w:u w:val="single"/>
        </w:rPr>
        <w:t xml:space="preserve">Coordination: </w:t>
      </w:r>
      <w:r w:rsidRPr="00192946">
        <w:rPr>
          <w:rFonts w:ascii="Garamond" w:hAnsi="Garamond"/>
          <w:u w:val="single"/>
        </w:rPr>
        <w:t>Conclusion</w:t>
      </w:r>
    </w:p>
    <w:p w14:paraId="2512EEEF" w14:textId="468CFB0F" w:rsidR="00192946" w:rsidRDefault="00192946">
      <w:pPr>
        <w:rPr>
          <w:rFonts w:ascii="Garamond" w:hAnsi="Garamond"/>
        </w:rPr>
      </w:pPr>
      <w:r>
        <w:rPr>
          <w:rFonts w:ascii="Garamond" w:hAnsi="Garamond"/>
        </w:rPr>
        <w:t>This statement identifies what we believe to be critical nexuses for coordination of the CHS implementation and administration with other programmatic activities that will deliver eligible clean heat measures. All efforts should be made to reduce “friction” among the programs, streamline compliance and reporting, and leverage their activities for the benefit of all.</w:t>
      </w:r>
    </w:p>
    <w:p w14:paraId="363A330D" w14:textId="77777777" w:rsidR="00122278" w:rsidRDefault="00122278">
      <w:pPr>
        <w:rPr>
          <w:rFonts w:ascii="Garamond" w:hAnsi="Garamond"/>
        </w:rPr>
      </w:pPr>
    </w:p>
    <w:p w14:paraId="3AC1A5DF" w14:textId="10EE6C52" w:rsidR="00122278" w:rsidRDefault="00122278">
      <w:pPr>
        <w:rPr>
          <w:rFonts w:ascii="Garamond" w:hAnsi="Garamond"/>
        </w:rPr>
      </w:pPr>
      <w:r>
        <w:rPr>
          <w:rFonts w:ascii="Garamond" w:hAnsi="Garamond"/>
        </w:rPr>
        <w:t xml:space="preserve">The TAG recommends that </w:t>
      </w:r>
      <w:r w:rsidR="003B6B52">
        <w:rPr>
          <w:rFonts w:ascii="Garamond" w:hAnsi="Garamond"/>
        </w:rPr>
        <w:t>the PUC initiate, as soon as possible, the process for registering creditable activities to date, estimating their emissions impacts, and cataloguing them according to their</w:t>
      </w:r>
      <w:r w:rsidR="00B541DC">
        <w:rPr>
          <w:rFonts w:ascii="Garamond" w:hAnsi="Garamond"/>
        </w:rPr>
        <w:t xml:space="preserve"> causes and incentives, if any (i.e., whether efficiency, weatherization, Tier 3, or something else).</w:t>
      </w:r>
    </w:p>
    <w:p w14:paraId="58F9D597" w14:textId="77777777" w:rsidR="00192946" w:rsidRDefault="00192946">
      <w:pPr>
        <w:rPr>
          <w:rFonts w:ascii="Garamond" w:hAnsi="Garamond"/>
        </w:rPr>
      </w:pPr>
    </w:p>
    <w:p w14:paraId="0A48A2D9" w14:textId="25A35741" w:rsidR="00655541" w:rsidRPr="00027B7E" w:rsidRDefault="00655541">
      <w:pPr>
        <w:rPr>
          <w:rFonts w:ascii="Garamond" w:hAnsi="Garamond"/>
          <w:u w:val="single"/>
        </w:rPr>
      </w:pPr>
      <w:r w:rsidRPr="00027B7E">
        <w:rPr>
          <w:rFonts w:ascii="Garamond" w:hAnsi="Garamond"/>
          <w:u w:val="single"/>
        </w:rPr>
        <w:t xml:space="preserve">B. </w:t>
      </w:r>
      <w:r w:rsidR="00027B7E" w:rsidRPr="00027B7E">
        <w:rPr>
          <w:rFonts w:ascii="Garamond" w:hAnsi="Garamond"/>
          <w:u w:val="single"/>
        </w:rPr>
        <w:t xml:space="preserve">Adjusting Credit Values to </w:t>
      </w:r>
      <w:r w:rsidR="00AC0E0D" w:rsidRPr="00027B7E">
        <w:rPr>
          <w:rFonts w:ascii="Garamond" w:hAnsi="Garamond"/>
          <w:u w:val="single"/>
        </w:rPr>
        <w:t>Avoid</w:t>
      </w:r>
      <w:r w:rsidR="00027B7E" w:rsidRPr="00027B7E">
        <w:rPr>
          <w:rFonts w:ascii="Garamond" w:hAnsi="Garamond"/>
          <w:u w:val="single"/>
        </w:rPr>
        <w:t xml:space="preserve"> Double-Counting,</w:t>
      </w:r>
      <w:r w:rsidR="00027B7E" w:rsidRPr="00027B7E">
        <w:rPr>
          <w:rFonts w:ascii="Garamond" w:hAnsi="Garamond"/>
          <w:u w:val="single"/>
        </w:rPr>
        <w:t xml:space="preserve"> pursuant to 30 VSA §§8128(a)(5)</w:t>
      </w:r>
    </w:p>
    <w:p w14:paraId="7C2EDA47" w14:textId="48A1916E" w:rsidR="004D0C31" w:rsidRDefault="00027B7E">
      <w:pPr>
        <w:rPr>
          <w:rFonts w:ascii="Garamond" w:hAnsi="Garamond"/>
        </w:rPr>
      </w:pPr>
      <w:r>
        <w:rPr>
          <w:rFonts w:ascii="Garamond" w:hAnsi="Garamond"/>
        </w:rPr>
        <w:lastRenderedPageBreak/>
        <w:t>Act 18 charges the TAG with “</w:t>
      </w:r>
      <w:r w:rsidR="004D0C31" w:rsidRPr="004D0C31">
        <w:rPr>
          <w:rFonts w:ascii="Garamond" w:hAnsi="Garamond"/>
        </w:rPr>
        <w:t>establishing credit values for each year over a clean heat measure’s expected life, including adjustments to account for increasing interactions between clean heat measures over time so as to not double-count emission reductions</w:t>
      </w:r>
      <w:r>
        <w:rPr>
          <w:rFonts w:ascii="Garamond" w:hAnsi="Garamond"/>
        </w:rPr>
        <w:t>.”</w:t>
      </w:r>
      <w:r>
        <w:rPr>
          <w:rStyle w:val="FootnoteReference"/>
          <w:rFonts w:ascii="Garamond" w:hAnsi="Garamond"/>
        </w:rPr>
        <w:footnoteReference w:id="3"/>
      </w:r>
    </w:p>
    <w:p w14:paraId="3085E287" w14:textId="77777777" w:rsidR="004D0C31" w:rsidRDefault="004D0C31">
      <w:pPr>
        <w:rPr>
          <w:rFonts w:ascii="Garamond" w:hAnsi="Garamond"/>
        </w:rPr>
      </w:pPr>
    </w:p>
    <w:p w14:paraId="1E1C73C6" w14:textId="31B941E5" w:rsidR="00655541" w:rsidRDefault="00AC0E0D" w:rsidP="004D5C86">
      <w:pPr>
        <w:rPr>
          <w:rFonts w:ascii="Garamond" w:hAnsi="Garamond"/>
        </w:rPr>
      </w:pPr>
      <w:r>
        <w:rPr>
          <w:rFonts w:ascii="Garamond" w:hAnsi="Garamond"/>
        </w:rPr>
        <w:t xml:space="preserve">We see that there </w:t>
      </w:r>
      <w:r w:rsidR="00027B7E">
        <w:rPr>
          <w:rFonts w:ascii="Garamond" w:hAnsi="Garamond"/>
        </w:rPr>
        <w:t>is a potential</w:t>
      </w:r>
      <w:r>
        <w:rPr>
          <w:rFonts w:ascii="Garamond" w:hAnsi="Garamond"/>
        </w:rPr>
        <w:t xml:space="preserve"> for</w:t>
      </w:r>
      <w:r w:rsidR="00027B7E">
        <w:rPr>
          <w:rFonts w:ascii="Garamond" w:hAnsi="Garamond"/>
        </w:rPr>
        <w:t xml:space="preserve"> the </w:t>
      </w:r>
      <w:proofErr w:type="gramStart"/>
      <w:r w:rsidR="00027B7E">
        <w:rPr>
          <w:rFonts w:ascii="Garamond" w:hAnsi="Garamond"/>
        </w:rPr>
        <w:t>double-counting</w:t>
      </w:r>
      <w:proofErr w:type="gramEnd"/>
      <w:r w:rsidR="00027B7E">
        <w:rPr>
          <w:rFonts w:ascii="Garamond" w:hAnsi="Garamond"/>
        </w:rPr>
        <w:t xml:space="preserve"> of emissions reductions from interactions among clean heat measures in home</w:t>
      </w:r>
      <w:r w:rsidR="00EB4FF8">
        <w:rPr>
          <w:rFonts w:ascii="Garamond" w:hAnsi="Garamond"/>
        </w:rPr>
        <w:t>s</w:t>
      </w:r>
      <w:r w:rsidR="00027B7E">
        <w:rPr>
          <w:rFonts w:ascii="Garamond" w:hAnsi="Garamond"/>
        </w:rPr>
        <w:t xml:space="preserve"> </w:t>
      </w:r>
      <w:r w:rsidR="00EB4FF8">
        <w:rPr>
          <w:rFonts w:ascii="Garamond" w:hAnsi="Garamond"/>
        </w:rPr>
        <w:t>and</w:t>
      </w:r>
      <w:r w:rsidR="00027B7E">
        <w:rPr>
          <w:rFonts w:ascii="Garamond" w:hAnsi="Garamond"/>
        </w:rPr>
        <w:t xml:space="preserve"> business</w:t>
      </w:r>
      <w:r w:rsidR="00EB4FF8">
        <w:rPr>
          <w:rFonts w:ascii="Garamond" w:hAnsi="Garamond"/>
        </w:rPr>
        <w:t>es</w:t>
      </w:r>
      <w:r w:rsidR="00027B7E">
        <w:rPr>
          <w:rFonts w:ascii="Garamond" w:hAnsi="Garamond"/>
        </w:rPr>
        <w:t>. It appears to lie primarily in the differences in accounting for emissions reductions between installed and delivered measures (i.e., bio- and renewable fuels)</w:t>
      </w:r>
      <w:r w:rsidR="004D5C86">
        <w:rPr>
          <w:rFonts w:ascii="Garamond" w:hAnsi="Garamond"/>
        </w:rPr>
        <w:t>.</w:t>
      </w:r>
      <w:r w:rsidR="00655541">
        <w:rPr>
          <w:rFonts w:ascii="Garamond" w:hAnsi="Garamond"/>
        </w:rPr>
        <w:t xml:space="preserve"> </w:t>
      </w:r>
    </w:p>
    <w:p w14:paraId="4DDFE13D" w14:textId="77777777" w:rsidR="00655541" w:rsidRDefault="00655541">
      <w:pPr>
        <w:rPr>
          <w:rFonts w:ascii="Garamond" w:hAnsi="Garamond"/>
        </w:rPr>
      </w:pPr>
    </w:p>
    <w:p w14:paraId="0535030F" w14:textId="256D1134" w:rsidR="00655541" w:rsidRDefault="004D5C86">
      <w:pPr>
        <w:rPr>
          <w:rFonts w:ascii="Garamond" w:hAnsi="Garamond"/>
        </w:rPr>
      </w:pPr>
      <w:r>
        <w:rPr>
          <w:rFonts w:ascii="Garamond" w:hAnsi="Garamond"/>
        </w:rPr>
        <w:t xml:space="preserve">Consider, </w:t>
      </w:r>
      <w:r w:rsidR="00EB4FF8">
        <w:rPr>
          <w:rFonts w:ascii="Garamond" w:hAnsi="Garamond"/>
        </w:rPr>
        <w:t>by way of</w:t>
      </w:r>
      <w:r w:rsidR="00655541">
        <w:rPr>
          <w:rFonts w:ascii="Garamond" w:hAnsi="Garamond"/>
        </w:rPr>
        <w:t xml:space="preserve"> example, </w:t>
      </w:r>
      <w:r>
        <w:rPr>
          <w:rFonts w:ascii="Garamond" w:hAnsi="Garamond"/>
        </w:rPr>
        <w:t xml:space="preserve">the case of </w:t>
      </w:r>
      <w:r w:rsidR="00655541">
        <w:rPr>
          <w:rFonts w:ascii="Garamond" w:hAnsi="Garamond"/>
        </w:rPr>
        <w:t xml:space="preserve">a </w:t>
      </w:r>
      <w:r>
        <w:rPr>
          <w:rFonts w:ascii="Garamond" w:hAnsi="Garamond"/>
        </w:rPr>
        <w:t xml:space="preserve">heat pump installed in a </w:t>
      </w:r>
      <w:r w:rsidR="00655541">
        <w:rPr>
          <w:rFonts w:ascii="Garamond" w:hAnsi="Garamond"/>
        </w:rPr>
        <w:t>residence</w:t>
      </w:r>
      <w:r>
        <w:rPr>
          <w:rFonts w:ascii="Garamond" w:hAnsi="Garamond"/>
        </w:rPr>
        <w:t xml:space="preserve"> that has an oil-fired boiler. The heat pump will serve only part of the heating load. I</w:t>
      </w:r>
      <w:r w:rsidR="00655541">
        <w:rPr>
          <w:rFonts w:ascii="Garamond" w:hAnsi="Garamond"/>
        </w:rPr>
        <w:t xml:space="preserve">n Year 1 </w:t>
      </w:r>
      <w:r>
        <w:rPr>
          <w:rFonts w:ascii="Garamond" w:hAnsi="Garamond"/>
        </w:rPr>
        <w:t xml:space="preserve">the measure is </w:t>
      </w:r>
      <w:proofErr w:type="gramStart"/>
      <w:r>
        <w:rPr>
          <w:rFonts w:ascii="Garamond" w:hAnsi="Garamond"/>
        </w:rPr>
        <w:t>installed</w:t>
      </w:r>
      <w:proofErr w:type="gramEnd"/>
      <w:r>
        <w:rPr>
          <w:rFonts w:ascii="Garamond" w:hAnsi="Garamond"/>
        </w:rPr>
        <w:t xml:space="preserve"> </w:t>
      </w:r>
      <w:r w:rsidR="00655541">
        <w:rPr>
          <w:rFonts w:ascii="Garamond" w:hAnsi="Garamond"/>
        </w:rPr>
        <w:t xml:space="preserve">and </w:t>
      </w:r>
      <w:r>
        <w:rPr>
          <w:rFonts w:ascii="Garamond" w:hAnsi="Garamond"/>
        </w:rPr>
        <w:t xml:space="preserve">it </w:t>
      </w:r>
      <w:r w:rsidR="00655541">
        <w:rPr>
          <w:rFonts w:ascii="Garamond" w:hAnsi="Garamond"/>
        </w:rPr>
        <w:t>receives time-stamped credits for a specified period</w:t>
      </w:r>
      <w:r>
        <w:rPr>
          <w:rFonts w:ascii="Garamond" w:hAnsi="Garamond"/>
        </w:rPr>
        <w:t xml:space="preserve"> (e.g., three years). These credits calculated as the product of the emissions/gallon of Vermont’s average fossil-fuel mix and the expected gallons avoided by the heat pump (net of any GHG emissions associated with the electricity serving the heat pump). Later,</w:t>
      </w:r>
      <w:r w:rsidR="00AC0E0D">
        <w:rPr>
          <w:rFonts w:ascii="Garamond" w:hAnsi="Garamond"/>
        </w:rPr>
        <w:t xml:space="preserve"> </w:t>
      </w:r>
      <w:r>
        <w:rPr>
          <w:rFonts w:ascii="Garamond" w:hAnsi="Garamond"/>
        </w:rPr>
        <w:t xml:space="preserve">say </w:t>
      </w:r>
      <w:r w:rsidR="00AC0E0D">
        <w:rPr>
          <w:rFonts w:ascii="Garamond" w:hAnsi="Garamond"/>
        </w:rPr>
        <w:t xml:space="preserve">in Year 3, the residence switches from fuel oil to B-100. The </w:t>
      </w:r>
      <w:r w:rsidR="00247B3C">
        <w:rPr>
          <w:rFonts w:ascii="Garamond" w:hAnsi="Garamond"/>
        </w:rPr>
        <w:t xml:space="preserve">potential </w:t>
      </w:r>
      <w:r w:rsidR="00AC0E0D">
        <w:rPr>
          <w:rFonts w:ascii="Garamond" w:hAnsi="Garamond"/>
        </w:rPr>
        <w:t xml:space="preserve">problem, then, is that the </w:t>
      </w:r>
      <w:r w:rsidR="00247B3C">
        <w:rPr>
          <w:rFonts w:ascii="Garamond" w:hAnsi="Garamond"/>
        </w:rPr>
        <w:t>heat pump</w:t>
      </w:r>
      <w:r w:rsidR="00AC0E0D">
        <w:rPr>
          <w:rFonts w:ascii="Garamond" w:hAnsi="Garamond"/>
        </w:rPr>
        <w:t xml:space="preserve"> continues to receive credit based on </w:t>
      </w:r>
      <w:r w:rsidR="00247B3C">
        <w:rPr>
          <w:rFonts w:ascii="Garamond" w:hAnsi="Garamond"/>
        </w:rPr>
        <w:t>the</w:t>
      </w:r>
      <w:r w:rsidR="00AC0E0D">
        <w:rPr>
          <w:rFonts w:ascii="Garamond" w:hAnsi="Garamond"/>
        </w:rPr>
        <w:t xml:space="preserve"> average fuel</w:t>
      </w:r>
      <w:r w:rsidR="00247B3C">
        <w:rPr>
          <w:rFonts w:ascii="Garamond" w:hAnsi="Garamond"/>
        </w:rPr>
        <w:t xml:space="preserve">-mix </w:t>
      </w:r>
      <w:r w:rsidR="00AC0E0D">
        <w:rPr>
          <w:rFonts w:ascii="Garamond" w:hAnsi="Garamond"/>
        </w:rPr>
        <w:t>carbon intensity rather than the actual fuel</w:t>
      </w:r>
      <w:r w:rsidR="00247B3C">
        <w:rPr>
          <w:rFonts w:ascii="Garamond" w:hAnsi="Garamond"/>
        </w:rPr>
        <w:t>’s</w:t>
      </w:r>
      <w:r w:rsidR="00AC0E0D">
        <w:rPr>
          <w:rFonts w:ascii="Garamond" w:hAnsi="Garamond"/>
        </w:rPr>
        <w:t xml:space="preserve"> carbon intensity</w:t>
      </w:r>
      <w:r w:rsidR="00247B3C">
        <w:rPr>
          <w:rFonts w:ascii="Garamond" w:hAnsi="Garamond"/>
        </w:rPr>
        <w:t>. Whether this sort of divergence will have a material effect on the emissions reductions of the CHS in the aggregate and for how long will depend on number of factors, which relate primarily to the availability of data, the duration of time-stamped credits, and the timing of adjustments to the average fuel mix and the credit values of installed measures.</w:t>
      </w:r>
    </w:p>
    <w:p w14:paraId="3727497A" w14:textId="77777777" w:rsidR="00AC0E0D" w:rsidRDefault="00AC0E0D">
      <w:pPr>
        <w:rPr>
          <w:rFonts w:ascii="Garamond" w:hAnsi="Garamond"/>
        </w:rPr>
      </w:pPr>
    </w:p>
    <w:p w14:paraId="310765A2" w14:textId="12073D2D" w:rsidR="007A77D5" w:rsidRDefault="00247B3C">
      <w:pPr>
        <w:rPr>
          <w:rFonts w:ascii="Garamond" w:hAnsi="Garamond"/>
        </w:rPr>
      </w:pPr>
      <w:r>
        <w:rPr>
          <w:rFonts w:ascii="Garamond" w:hAnsi="Garamond"/>
        </w:rPr>
        <w:t>S</w:t>
      </w:r>
      <w:r w:rsidR="00AC0E0D">
        <w:rPr>
          <w:rFonts w:ascii="Garamond" w:hAnsi="Garamond"/>
        </w:rPr>
        <w:t xml:space="preserve">olutions to the problem </w:t>
      </w:r>
      <w:r>
        <w:rPr>
          <w:rFonts w:ascii="Garamond" w:hAnsi="Garamond"/>
        </w:rPr>
        <w:t xml:space="preserve">will </w:t>
      </w:r>
      <w:r w:rsidR="00AC0E0D">
        <w:rPr>
          <w:rFonts w:ascii="Garamond" w:hAnsi="Garamond"/>
        </w:rPr>
        <w:t>increase the administrati</w:t>
      </w:r>
      <w:r w:rsidR="00EB4FF8">
        <w:rPr>
          <w:rFonts w:ascii="Garamond" w:hAnsi="Garamond"/>
        </w:rPr>
        <w:t>ve</w:t>
      </w:r>
      <w:r w:rsidR="00AC0E0D">
        <w:rPr>
          <w:rFonts w:ascii="Garamond" w:hAnsi="Garamond"/>
        </w:rPr>
        <w:t xml:space="preserve"> complexity of the program. At this time, the TAG </w:t>
      </w:r>
      <w:r>
        <w:rPr>
          <w:rFonts w:ascii="Garamond" w:hAnsi="Garamond"/>
        </w:rPr>
        <w:t xml:space="preserve">makes no judgment about the potential magnitude of </w:t>
      </w:r>
      <w:proofErr w:type="gramStart"/>
      <w:r>
        <w:rPr>
          <w:rFonts w:ascii="Garamond" w:hAnsi="Garamond"/>
        </w:rPr>
        <w:t>double-counting</w:t>
      </w:r>
      <w:proofErr w:type="gramEnd"/>
      <w:r>
        <w:rPr>
          <w:rFonts w:ascii="Garamond" w:hAnsi="Garamond"/>
        </w:rPr>
        <w:t xml:space="preserve"> (or, possibly, under-counting) of emissions reductions, nor any recommendations for how to </w:t>
      </w:r>
      <w:r w:rsidR="00EB4FF8">
        <w:rPr>
          <w:rFonts w:ascii="Garamond" w:hAnsi="Garamond"/>
        </w:rPr>
        <w:t xml:space="preserve">minimize it. </w:t>
      </w:r>
      <w:r w:rsidR="007A77D5">
        <w:rPr>
          <w:rFonts w:ascii="Garamond" w:hAnsi="Garamond"/>
        </w:rPr>
        <w:t>We will</w:t>
      </w:r>
      <w:r w:rsidR="00EB4FF8">
        <w:rPr>
          <w:rFonts w:ascii="Garamond" w:hAnsi="Garamond"/>
        </w:rPr>
        <w:t>, as continuing work with the PUC’s consultant and comments from parties to the proceedings shine light on the matter,</w:t>
      </w:r>
      <w:r w:rsidR="007A77D5">
        <w:rPr>
          <w:rFonts w:ascii="Garamond" w:hAnsi="Garamond"/>
        </w:rPr>
        <w:t xml:space="preserve"> consider administrative and reporting requirements that could be implemented to address </w:t>
      </w:r>
      <w:r w:rsidR="00EB4FF8">
        <w:rPr>
          <w:rFonts w:ascii="Garamond" w:hAnsi="Garamond"/>
        </w:rPr>
        <w:t>it</w:t>
      </w:r>
      <w:r w:rsidR="007A77D5">
        <w:rPr>
          <w:rFonts w:ascii="Garamond" w:hAnsi="Garamond"/>
        </w:rPr>
        <w:t>.</w:t>
      </w:r>
    </w:p>
    <w:p w14:paraId="36A72C24" w14:textId="77777777" w:rsidR="00655541" w:rsidRDefault="00655541">
      <w:pPr>
        <w:rPr>
          <w:rFonts w:ascii="Garamond" w:hAnsi="Garamond"/>
        </w:rPr>
      </w:pPr>
    </w:p>
    <w:p w14:paraId="2ACDEF70" w14:textId="095FAE15" w:rsidR="006F46BB" w:rsidRPr="009A3FF2" w:rsidRDefault="00655541" w:rsidP="009D5140">
      <w:pPr>
        <w:ind w:left="360" w:hanging="360"/>
        <w:rPr>
          <w:rFonts w:ascii="Garamond" w:hAnsi="Garamond"/>
          <w:u w:val="single"/>
        </w:rPr>
      </w:pPr>
      <w:r>
        <w:rPr>
          <w:rFonts w:ascii="Garamond" w:hAnsi="Garamond"/>
          <w:u w:val="single"/>
        </w:rPr>
        <w:t>C</w:t>
      </w:r>
      <w:r w:rsidR="006F46BB">
        <w:rPr>
          <w:rFonts w:ascii="Garamond" w:hAnsi="Garamond"/>
          <w:u w:val="single"/>
        </w:rPr>
        <w:t xml:space="preserve">. </w:t>
      </w:r>
      <w:r w:rsidR="00FC08BF">
        <w:rPr>
          <w:rFonts w:ascii="Garamond" w:hAnsi="Garamond"/>
          <w:u w:val="single"/>
        </w:rPr>
        <w:t xml:space="preserve">Avoiding </w:t>
      </w:r>
      <w:r w:rsidR="009D5140">
        <w:rPr>
          <w:rFonts w:ascii="Garamond" w:hAnsi="Garamond"/>
          <w:u w:val="single"/>
        </w:rPr>
        <w:t xml:space="preserve">Sectoral Double-Counting of CHS Emissions Reductions, pursuant to </w:t>
      </w:r>
      <w:r w:rsidR="009D5140" w:rsidRPr="009D5140">
        <w:rPr>
          <w:rFonts w:ascii="Garamond" w:hAnsi="Garamond"/>
          <w:u w:val="single"/>
        </w:rPr>
        <w:t>30 VSA §§8128(a)(9)</w:t>
      </w:r>
    </w:p>
    <w:p w14:paraId="3B26EF35" w14:textId="035D29D7" w:rsidR="00BB2678" w:rsidRDefault="009D5140" w:rsidP="00B541DC">
      <w:pPr>
        <w:rPr>
          <w:rFonts w:ascii="Garamond" w:hAnsi="Garamond"/>
        </w:rPr>
      </w:pPr>
      <w:r>
        <w:rPr>
          <w:rFonts w:ascii="Garamond" w:hAnsi="Garamond"/>
        </w:rPr>
        <w:t xml:space="preserve">The TAG is directed to work </w:t>
      </w:r>
      <w:r w:rsidRPr="009D5140">
        <w:rPr>
          <w:rFonts w:ascii="Garamond" w:hAnsi="Garamond"/>
        </w:rPr>
        <w:t>with the Agency of Natural Resources</w:t>
      </w:r>
      <w:r>
        <w:rPr>
          <w:rFonts w:ascii="Garamond" w:hAnsi="Garamond"/>
        </w:rPr>
        <w:t xml:space="preserve"> [ANR]</w:t>
      </w:r>
      <w:r w:rsidRPr="009D5140">
        <w:rPr>
          <w:rFonts w:ascii="Garamond" w:hAnsi="Garamond"/>
        </w:rPr>
        <w:t xml:space="preserve"> to </w:t>
      </w:r>
      <w:r>
        <w:rPr>
          <w:rFonts w:ascii="Garamond" w:hAnsi="Garamond"/>
        </w:rPr>
        <w:t>make sure that GHG</w:t>
      </w:r>
      <w:r w:rsidRPr="009D5140">
        <w:rPr>
          <w:rFonts w:ascii="Garamond" w:hAnsi="Garamond"/>
        </w:rPr>
        <w:t xml:space="preserve"> emissions reductions achieved in </w:t>
      </w:r>
      <w:r>
        <w:rPr>
          <w:rFonts w:ascii="Garamond" w:hAnsi="Garamond"/>
        </w:rPr>
        <w:t>other</w:t>
      </w:r>
      <w:r w:rsidRPr="009D5140">
        <w:rPr>
          <w:rFonts w:ascii="Garamond" w:hAnsi="Garamond"/>
        </w:rPr>
        <w:t xml:space="preserve"> sector</w:t>
      </w:r>
      <w:r>
        <w:rPr>
          <w:rFonts w:ascii="Garamond" w:hAnsi="Garamond"/>
        </w:rPr>
        <w:t>s</w:t>
      </w:r>
      <w:r w:rsidR="00FC08BF">
        <w:rPr>
          <w:rFonts w:ascii="Garamond" w:hAnsi="Garamond"/>
        </w:rPr>
        <w:t xml:space="preserve"> (</w:t>
      </w:r>
      <w:r w:rsidR="00267100">
        <w:rPr>
          <w:rFonts w:ascii="Garamond" w:hAnsi="Garamond"/>
        </w:rPr>
        <w:t>for instance</w:t>
      </w:r>
      <w:r w:rsidR="00A85286">
        <w:rPr>
          <w:rFonts w:ascii="Garamond" w:hAnsi="Garamond"/>
        </w:rPr>
        <w:t>, agriculture)</w:t>
      </w:r>
      <w:r w:rsidRPr="009D5140">
        <w:rPr>
          <w:rFonts w:ascii="Garamond" w:hAnsi="Garamond"/>
        </w:rPr>
        <w:t xml:space="preserve"> </w:t>
      </w:r>
      <w:r>
        <w:rPr>
          <w:rFonts w:ascii="Garamond" w:hAnsi="Garamond"/>
        </w:rPr>
        <w:t>as a consequence of the</w:t>
      </w:r>
      <w:r w:rsidRPr="009D5140">
        <w:rPr>
          <w:rFonts w:ascii="Garamond" w:hAnsi="Garamond"/>
        </w:rPr>
        <w:t xml:space="preserve"> CHS</w:t>
      </w:r>
      <w:r>
        <w:rPr>
          <w:rFonts w:ascii="Garamond" w:hAnsi="Garamond"/>
        </w:rPr>
        <w:t xml:space="preserve"> </w:t>
      </w:r>
      <w:r w:rsidRPr="009D5140">
        <w:rPr>
          <w:rFonts w:ascii="Garamond" w:hAnsi="Garamond"/>
        </w:rPr>
        <w:t xml:space="preserve">are not </w:t>
      </w:r>
      <w:proofErr w:type="gramStart"/>
      <w:r w:rsidRPr="009D5140">
        <w:rPr>
          <w:rFonts w:ascii="Garamond" w:hAnsi="Garamond"/>
        </w:rPr>
        <w:t>double-counted</w:t>
      </w:r>
      <w:proofErr w:type="gramEnd"/>
      <w:r w:rsidRPr="009D5140">
        <w:rPr>
          <w:rFonts w:ascii="Garamond" w:hAnsi="Garamond"/>
        </w:rPr>
        <w:t xml:space="preserve"> in the </w:t>
      </w:r>
      <w:r>
        <w:rPr>
          <w:rFonts w:ascii="Garamond" w:hAnsi="Garamond"/>
        </w:rPr>
        <w:t>state’s</w:t>
      </w:r>
      <w:r w:rsidRPr="009D5140">
        <w:rPr>
          <w:rFonts w:ascii="Garamond" w:hAnsi="Garamond"/>
        </w:rPr>
        <w:t xml:space="preserve"> </w:t>
      </w:r>
      <w:r>
        <w:rPr>
          <w:rFonts w:ascii="Garamond" w:hAnsi="Garamond"/>
        </w:rPr>
        <w:t>GHG</w:t>
      </w:r>
      <w:r w:rsidRPr="009D5140">
        <w:rPr>
          <w:rFonts w:ascii="Garamond" w:hAnsi="Garamond"/>
        </w:rPr>
        <w:t xml:space="preserve"> </w:t>
      </w:r>
      <w:r>
        <w:rPr>
          <w:rFonts w:ascii="Garamond" w:hAnsi="Garamond"/>
        </w:rPr>
        <w:t>e</w:t>
      </w:r>
      <w:r w:rsidRPr="009D5140">
        <w:rPr>
          <w:rFonts w:ascii="Garamond" w:hAnsi="Garamond"/>
        </w:rPr>
        <w:t xml:space="preserve">missions </w:t>
      </w:r>
      <w:r>
        <w:rPr>
          <w:rFonts w:ascii="Garamond" w:hAnsi="Garamond"/>
        </w:rPr>
        <w:t>i</w:t>
      </w:r>
      <w:r w:rsidRPr="009D5140">
        <w:rPr>
          <w:rFonts w:ascii="Garamond" w:hAnsi="Garamond"/>
        </w:rPr>
        <w:t xml:space="preserve">nventory and </w:t>
      </w:r>
      <w:r>
        <w:rPr>
          <w:rFonts w:ascii="Garamond" w:hAnsi="Garamond"/>
        </w:rPr>
        <w:t>f</w:t>
      </w:r>
      <w:r w:rsidRPr="009D5140">
        <w:rPr>
          <w:rFonts w:ascii="Garamond" w:hAnsi="Garamond"/>
        </w:rPr>
        <w:t>orecast</w:t>
      </w:r>
      <w:r w:rsidR="00FC08BF">
        <w:rPr>
          <w:rFonts w:ascii="Garamond" w:hAnsi="Garamond"/>
        </w:rPr>
        <w:t>.</w:t>
      </w:r>
      <w:r w:rsidR="004D0C31">
        <w:rPr>
          <w:rStyle w:val="FootnoteReference"/>
          <w:rFonts w:ascii="Garamond" w:hAnsi="Garamond"/>
        </w:rPr>
        <w:footnoteReference w:id="4"/>
      </w:r>
    </w:p>
    <w:p w14:paraId="1C438F94" w14:textId="77777777" w:rsidR="00FC08BF" w:rsidRDefault="00FC08BF" w:rsidP="00B541DC">
      <w:pPr>
        <w:rPr>
          <w:rFonts w:ascii="Garamond" w:hAnsi="Garamond"/>
        </w:rPr>
      </w:pPr>
    </w:p>
    <w:p w14:paraId="2B81E6C4" w14:textId="6F6EB716" w:rsidR="00661CAF" w:rsidRDefault="00661CAF" w:rsidP="00B541DC">
      <w:pPr>
        <w:rPr>
          <w:rFonts w:ascii="Garamond" w:hAnsi="Garamond"/>
        </w:rPr>
      </w:pPr>
      <w:r>
        <w:rPr>
          <w:rFonts w:ascii="Garamond" w:hAnsi="Garamond"/>
        </w:rPr>
        <w:t xml:space="preserve">The TAG is alert to this issue. ANR is represented on the TAG. </w:t>
      </w:r>
      <w:r>
        <w:rPr>
          <w:rFonts w:ascii="Garamond" w:hAnsi="Garamond"/>
        </w:rPr>
        <w:t>Based on our current understanding of the inventory and the CHS program, the TAG does not see how sectoral double-counting of emissions reductions can occur. We will remain open to the possibility, however, as we await further information from the PUC’s consultant and parties to the proceedings.</w:t>
      </w:r>
    </w:p>
    <w:p w14:paraId="37AD8C86" w14:textId="77777777" w:rsidR="00214D98" w:rsidRDefault="00214D98">
      <w:pPr>
        <w:rPr>
          <w:rFonts w:ascii="Garamond" w:hAnsi="Garamond"/>
        </w:rPr>
      </w:pPr>
    </w:p>
    <w:p w14:paraId="20FC7DD5" w14:textId="25A2B923" w:rsidR="009D5140" w:rsidRDefault="000D0ACE">
      <w:pPr>
        <w:rPr>
          <w:rFonts w:ascii="Garamond" w:hAnsi="Garamond"/>
        </w:rPr>
      </w:pPr>
      <w:r>
        <w:rPr>
          <w:rFonts w:ascii="Garamond" w:hAnsi="Garamond"/>
        </w:rPr>
        <w:softHyphen/>
      </w:r>
      <w:r>
        <w:rPr>
          <w:rFonts w:ascii="Garamond" w:hAnsi="Garamond"/>
        </w:rPr>
        <w:softHyphen/>
      </w:r>
      <w:r>
        <w:rPr>
          <w:rFonts w:ascii="Garamond" w:hAnsi="Garamond"/>
        </w:rPr>
        <w:softHyphen/>
      </w:r>
      <w:r>
        <w:rPr>
          <w:rFonts w:ascii="Garamond" w:hAnsi="Garamond"/>
        </w:rPr>
        <w:softHyphen/>
      </w:r>
      <w:r>
        <w:rPr>
          <w:rFonts w:ascii="Garamond" w:hAnsi="Garamond"/>
        </w:rPr>
        <w:softHyphen/>
        <w:t>________________________</w:t>
      </w:r>
    </w:p>
    <w:p w14:paraId="08015930" w14:textId="77777777" w:rsidR="00BB2678" w:rsidRDefault="00BB2678">
      <w:pPr>
        <w:rPr>
          <w:rFonts w:ascii="Garamond" w:hAnsi="Garamond"/>
        </w:rPr>
      </w:pPr>
    </w:p>
    <w:p w14:paraId="15B4C449" w14:textId="3C2DEF21" w:rsidR="00BB2678" w:rsidRDefault="00BB2678">
      <w:pPr>
        <w:rPr>
          <w:rFonts w:ascii="Garamond" w:hAnsi="Garamond"/>
        </w:rPr>
      </w:pPr>
      <w:r>
        <w:rPr>
          <w:rFonts w:ascii="Garamond" w:hAnsi="Garamond"/>
        </w:rPr>
        <w:t>Approved by motion and vote</w:t>
      </w:r>
      <w:r w:rsidR="00E00A8D">
        <w:rPr>
          <w:rFonts w:ascii="Garamond" w:hAnsi="Garamond"/>
        </w:rPr>
        <w:t xml:space="preserve">, </w:t>
      </w:r>
      <w:r w:rsidR="00026F0B">
        <w:rPr>
          <w:rFonts w:ascii="Garamond" w:hAnsi="Garamond"/>
        </w:rPr>
        <w:t>22</w:t>
      </w:r>
      <w:r w:rsidR="00E00A8D">
        <w:rPr>
          <w:rFonts w:ascii="Garamond" w:hAnsi="Garamond"/>
        </w:rPr>
        <w:t xml:space="preserve"> </w:t>
      </w:r>
      <w:r w:rsidR="00026F0B">
        <w:rPr>
          <w:rFonts w:ascii="Garamond" w:hAnsi="Garamond"/>
        </w:rPr>
        <w:t>August</w:t>
      </w:r>
      <w:r w:rsidR="00E00A8D">
        <w:rPr>
          <w:rFonts w:ascii="Garamond" w:hAnsi="Garamond"/>
        </w:rPr>
        <w:t xml:space="preserve"> 2024.</w:t>
      </w:r>
    </w:p>
    <w:p w14:paraId="7877AA78" w14:textId="4DB43BC7" w:rsidR="00FA26B1" w:rsidRDefault="00FA26B1">
      <w:pPr>
        <w:rPr>
          <w:rFonts w:ascii="Garamond" w:hAnsi="Garamond"/>
        </w:rPr>
      </w:pPr>
    </w:p>
    <w:p w14:paraId="7C157077" w14:textId="3AC2AB75" w:rsidR="00617676" w:rsidRPr="00617676" w:rsidRDefault="00FA26B1">
      <w:pPr>
        <w:rPr>
          <w:rFonts w:ascii="Garamond" w:hAnsi="Garamond"/>
        </w:rPr>
      </w:pPr>
      <w:r>
        <w:rPr>
          <w:rFonts w:ascii="Garamond" w:hAnsi="Garamond"/>
        </w:rPr>
        <w:t>Frederick Weston, Chair</w:t>
      </w:r>
    </w:p>
    <w:sectPr w:rsidR="00617676" w:rsidRPr="00617676" w:rsidSect="00F87856">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CE5AB5" w14:textId="77777777" w:rsidR="001A7ACC" w:rsidRDefault="001A7ACC" w:rsidP="00B9415E">
      <w:r>
        <w:separator/>
      </w:r>
    </w:p>
  </w:endnote>
  <w:endnote w:type="continuationSeparator" w:id="0">
    <w:p w14:paraId="6BEDA535" w14:textId="77777777" w:rsidR="001A7ACC" w:rsidRDefault="001A7ACC" w:rsidP="00B9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B0604020202020204"/>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F51F1" w14:textId="77777777" w:rsidR="00B9415E" w:rsidRDefault="00B941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1FDBC" w14:textId="77777777" w:rsidR="00B9415E" w:rsidRDefault="00B941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6D55E" w14:textId="77777777" w:rsidR="00B9415E" w:rsidRDefault="00B941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36182" w14:textId="77777777" w:rsidR="001A7ACC" w:rsidRDefault="001A7ACC" w:rsidP="00B9415E">
      <w:r>
        <w:separator/>
      </w:r>
    </w:p>
  </w:footnote>
  <w:footnote w:type="continuationSeparator" w:id="0">
    <w:p w14:paraId="5DAD61B1" w14:textId="77777777" w:rsidR="001A7ACC" w:rsidRDefault="001A7ACC" w:rsidP="00B9415E">
      <w:r>
        <w:continuationSeparator/>
      </w:r>
    </w:p>
  </w:footnote>
  <w:footnote w:id="1">
    <w:p w14:paraId="1540941C" w14:textId="4814614C" w:rsidR="00E75A1D" w:rsidRDefault="00E75A1D">
      <w:pPr>
        <w:pStyle w:val="FootnoteText"/>
      </w:pPr>
      <w:r>
        <w:rPr>
          <w:rStyle w:val="FootnoteReference"/>
        </w:rPr>
        <w:footnoteRef/>
      </w:r>
      <w:r>
        <w:t xml:space="preserve"> </w:t>
      </w:r>
      <w:r w:rsidR="00AA289E" w:rsidRPr="00AA289E">
        <w:t>30 VSA §§8127(k)(1)</w:t>
      </w:r>
      <w:r w:rsidR="00AA289E">
        <w:t>.</w:t>
      </w:r>
      <w:r w:rsidR="00AA289E" w:rsidRPr="00AA289E">
        <w:t xml:space="preserve"> </w:t>
      </w:r>
      <w:r w:rsidR="00AA289E">
        <w:t xml:space="preserve">It goes on to say, </w:t>
      </w:r>
      <w:r>
        <w:t>“</w:t>
      </w:r>
      <w:r w:rsidRPr="00E75A1D">
        <w:t>This includes individual initiatives, emission reductions resulting from the State’s energy efficiency programs, the low-income weatherization program, and the Renewable Energy Standard Tier 3 program. Clean heat measures delivered or installed pursuant to any local, State, or federal program or policy may count both towards goals or requirements of such programs and policies and be eligible clean heat measures that count towards the emission reduction obligations of this chapter.</w:t>
      </w:r>
      <w:r>
        <w:t>”</w:t>
      </w:r>
    </w:p>
  </w:footnote>
  <w:footnote w:id="2">
    <w:p w14:paraId="676D628F" w14:textId="4597457F" w:rsidR="004D0C31" w:rsidRDefault="004D0C31" w:rsidP="004D0C31">
      <w:pPr>
        <w:pStyle w:val="FootnoteText"/>
      </w:pPr>
      <w:r>
        <w:rPr>
          <w:rStyle w:val="FootnoteReference"/>
        </w:rPr>
        <w:footnoteRef/>
      </w:r>
      <w:r>
        <w:t xml:space="preserve"> </w:t>
      </w:r>
      <w:r w:rsidRPr="004D0C31">
        <w:t>30 VSA §§8128(a)(6</w:t>
      </w:r>
      <w:proofErr w:type="gramStart"/>
      <w:r w:rsidRPr="004D0C31">
        <w:t>)</w:t>
      </w:r>
      <w:r>
        <w:t>.</w:t>
      </w:r>
      <w:proofErr w:type="gramEnd"/>
    </w:p>
  </w:footnote>
  <w:footnote w:id="3">
    <w:p w14:paraId="79550CE9" w14:textId="5938859D" w:rsidR="00027B7E" w:rsidRPr="00EB4FF8" w:rsidRDefault="00027B7E">
      <w:pPr>
        <w:pStyle w:val="FootnoteText"/>
      </w:pPr>
      <w:r>
        <w:rPr>
          <w:rStyle w:val="FootnoteReference"/>
        </w:rPr>
        <w:footnoteRef/>
      </w:r>
      <w:r>
        <w:t xml:space="preserve"> </w:t>
      </w:r>
      <w:r w:rsidRPr="00EB4FF8">
        <w:t>30 VSA §§8128(a)(5)</w:t>
      </w:r>
      <w:r w:rsidR="00EB4FF8">
        <w:t>.</w:t>
      </w:r>
    </w:p>
  </w:footnote>
  <w:footnote w:id="4">
    <w:p w14:paraId="11376B82" w14:textId="0AC7BDB0" w:rsidR="004D0C31" w:rsidRDefault="004D0C31" w:rsidP="004D0C31">
      <w:pPr>
        <w:pStyle w:val="FootnoteText"/>
      </w:pPr>
      <w:r>
        <w:rPr>
          <w:rStyle w:val="FootnoteReference"/>
        </w:rPr>
        <w:footnoteRef/>
      </w:r>
      <w:r>
        <w:t xml:space="preserve"> </w:t>
      </w:r>
      <w:r w:rsidRPr="004D0C31">
        <w:t>30 VSA §§8128(a)(9)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0B580" w14:textId="4A9DAA20" w:rsidR="00B9415E" w:rsidRDefault="001A7ACC">
    <w:pPr>
      <w:pStyle w:val="Header"/>
    </w:pPr>
    <w:r>
      <w:rPr>
        <w:noProof/>
      </w:rPr>
      <w:pict w14:anchorId="1D946D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2.2pt;height:193.4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AR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8B3DD" w14:textId="4A462E8D" w:rsidR="00B9415E" w:rsidRDefault="001A7ACC">
    <w:pPr>
      <w:pStyle w:val="Header"/>
    </w:pPr>
    <w:r>
      <w:rPr>
        <w:noProof/>
      </w:rPr>
      <w:pict w14:anchorId="0174C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2.2pt;height:193.4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AR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2A83F" w14:textId="687C52F3" w:rsidR="00B9415E" w:rsidRDefault="001A7ACC">
    <w:pPr>
      <w:pStyle w:val="Header"/>
    </w:pPr>
    <w:r>
      <w:rPr>
        <w:noProof/>
      </w:rPr>
      <w:pict w14:anchorId="04871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alt="" style="position:absolute;margin-left:0;margin-top:0;width:442.2pt;height:193.4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AR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F53BE"/>
    <w:multiLevelType w:val="hybridMultilevel"/>
    <w:tmpl w:val="C0A86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41206E"/>
    <w:multiLevelType w:val="hybridMultilevel"/>
    <w:tmpl w:val="D2746934"/>
    <w:lvl w:ilvl="0" w:tplc="3B569E9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4691B98"/>
    <w:multiLevelType w:val="hybridMultilevel"/>
    <w:tmpl w:val="67E43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B14564"/>
    <w:multiLevelType w:val="hybridMultilevel"/>
    <w:tmpl w:val="D274693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5D310A3"/>
    <w:multiLevelType w:val="hybridMultilevel"/>
    <w:tmpl w:val="E50EC576"/>
    <w:lvl w:ilvl="0" w:tplc="D7C2E4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28F541B"/>
    <w:multiLevelType w:val="hybridMultilevel"/>
    <w:tmpl w:val="AF422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2230D9"/>
    <w:multiLevelType w:val="hybridMultilevel"/>
    <w:tmpl w:val="89726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B95CE1"/>
    <w:multiLevelType w:val="hybridMultilevel"/>
    <w:tmpl w:val="709C7BD4"/>
    <w:lvl w:ilvl="0" w:tplc="63868B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86090963">
    <w:abstractNumId w:val="6"/>
  </w:num>
  <w:num w:numId="2" w16cid:durableId="1481458961">
    <w:abstractNumId w:val="5"/>
  </w:num>
  <w:num w:numId="3" w16cid:durableId="1313606210">
    <w:abstractNumId w:val="2"/>
  </w:num>
  <w:num w:numId="4" w16cid:durableId="1243372910">
    <w:abstractNumId w:val="1"/>
  </w:num>
  <w:num w:numId="5" w16cid:durableId="1430002711">
    <w:abstractNumId w:val="3"/>
  </w:num>
  <w:num w:numId="6" w16cid:durableId="428352171">
    <w:abstractNumId w:val="7"/>
  </w:num>
  <w:num w:numId="7" w16cid:durableId="1268853408">
    <w:abstractNumId w:val="4"/>
  </w:num>
  <w:num w:numId="8" w16cid:durableId="1560021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676"/>
    <w:rsid w:val="00004FFE"/>
    <w:rsid w:val="000179E0"/>
    <w:rsid w:val="00026F0B"/>
    <w:rsid w:val="00027B7E"/>
    <w:rsid w:val="0005030D"/>
    <w:rsid w:val="00070EC8"/>
    <w:rsid w:val="000752B7"/>
    <w:rsid w:val="000972B1"/>
    <w:rsid w:val="000A2E53"/>
    <w:rsid w:val="000C0036"/>
    <w:rsid w:val="000D0ACE"/>
    <w:rsid w:val="00122278"/>
    <w:rsid w:val="00156DDC"/>
    <w:rsid w:val="001654DE"/>
    <w:rsid w:val="00184507"/>
    <w:rsid w:val="00192946"/>
    <w:rsid w:val="00192B29"/>
    <w:rsid w:val="001A7ACC"/>
    <w:rsid w:val="001C737B"/>
    <w:rsid w:val="001D14CF"/>
    <w:rsid w:val="00214D98"/>
    <w:rsid w:val="00223634"/>
    <w:rsid w:val="00223767"/>
    <w:rsid w:val="002461F5"/>
    <w:rsid w:val="00247B3C"/>
    <w:rsid w:val="00253A46"/>
    <w:rsid w:val="002616F7"/>
    <w:rsid w:val="00267100"/>
    <w:rsid w:val="00276480"/>
    <w:rsid w:val="002A01FA"/>
    <w:rsid w:val="002A0FC4"/>
    <w:rsid w:val="002E4796"/>
    <w:rsid w:val="002E7A7F"/>
    <w:rsid w:val="003170B0"/>
    <w:rsid w:val="00322475"/>
    <w:rsid w:val="003412B8"/>
    <w:rsid w:val="00347073"/>
    <w:rsid w:val="00376122"/>
    <w:rsid w:val="003B6B52"/>
    <w:rsid w:val="003B701A"/>
    <w:rsid w:val="003C1C7B"/>
    <w:rsid w:val="003E5AE7"/>
    <w:rsid w:val="003F29CE"/>
    <w:rsid w:val="0041270E"/>
    <w:rsid w:val="00433598"/>
    <w:rsid w:val="00447169"/>
    <w:rsid w:val="00495BF2"/>
    <w:rsid w:val="00497830"/>
    <w:rsid w:val="004A7F4C"/>
    <w:rsid w:val="004D0C31"/>
    <w:rsid w:val="004D5C86"/>
    <w:rsid w:val="00503F74"/>
    <w:rsid w:val="005230EE"/>
    <w:rsid w:val="00523E9A"/>
    <w:rsid w:val="005762EB"/>
    <w:rsid w:val="00590682"/>
    <w:rsid w:val="005B04B2"/>
    <w:rsid w:val="00604505"/>
    <w:rsid w:val="00607F4B"/>
    <w:rsid w:val="00612961"/>
    <w:rsid w:val="00617676"/>
    <w:rsid w:val="00622892"/>
    <w:rsid w:val="006279FD"/>
    <w:rsid w:val="00655541"/>
    <w:rsid w:val="006603AB"/>
    <w:rsid w:val="00661CAF"/>
    <w:rsid w:val="006713C2"/>
    <w:rsid w:val="0069134C"/>
    <w:rsid w:val="006A7F30"/>
    <w:rsid w:val="006E1329"/>
    <w:rsid w:val="006F0A88"/>
    <w:rsid w:val="006F46BB"/>
    <w:rsid w:val="00703A92"/>
    <w:rsid w:val="0071717D"/>
    <w:rsid w:val="00721D2B"/>
    <w:rsid w:val="00722D3D"/>
    <w:rsid w:val="007521A2"/>
    <w:rsid w:val="007A6DCC"/>
    <w:rsid w:val="007A77D5"/>
    <w:rsid w:val="007C11C1"/>
    <w:rsid w:val="007D405F"/>
    <w:rsid w:val="007D75D5"/>
    <w:rsid w:val="007D7B4B"/>
    <w:rsid w:val="007F32AE"/>
    <w:rsid w:val="00825F18"/>
    <w:rsid w:val="00845446"/>
    <w:rsid w:val="00850120"/>
    <w:rsid w:val="008535DA"/>
    <w:rsid w:val="00856DDB"/>
    <w:rsid w:val="008A0596"/>
    <w:rsid w:val="008A5BC1"/>
    <w:rsid w:val="008B05DB"/>
    <w:rsid w:val="0091407D"/>
    <w:rsid w:val="00927ABD"/>
    <w:rsid w:val="00936526"/>
    <w:rsid w:val="009A3FF2"/>
    <w:rsid w:val="009D5140"/>
    <w:rsid w:val="009D7FBF"/>
    <w:rsid w:val="00A1072F"/>
    <w:rsid w:val="00A416D4"/>
    <w:rsid w:val="00A70D85"/>
    <w:rsid w:val="00A85286"/>
    <w:rsid w:val="00A95CC5"/>
    <w:rsid w:val="00AA1853"/>
    <w:rsid w:val="00AA289E"/>
    <w:rsid w:val="00AA426C"/>
    <w:rsid w:val="00AB0A14"/>
    <w:rsid w:val="00AC0E0D"/>
    <w:rsid w:val="00AD7CB9"/>
    <w:rsid w:val="00B25183"/>
    <w:rsid w:val="00B267F8"/>
    <w:rsid w:val="00B27C84"/>
    <w:rsid w:val="00B541DC"/>
    <w:rsid w:val="00B551E1"/>
    <w:rsid w:val="00B9415E"/>
    <w:rsid w:val="00BB2678"/>
    <w:rsid w:val="00BD2C2A"/>
    <w:rsid w:val="00C05671"/>
    <w:rsid w:val="00C06E4E"/>
    <w:rsid w:val="00C07D51"/>
    <w:rsid w:val="00C10CEC"/>
    <w:rsid w:val="00C31C83"/>
    <w:rsid w:val="00C44F3A"/>
    <w:rsid w:val="00C50A44"/>
    <w:rsid w:val="00C944CB"/>
    <w:rsid w:val="00C95B58"/>
    <w:rsid w:val="00CB4671"/>
    <w:rsid w:val="00CF2805"/>
    <w:rsid w:val="00D17F3B"/>
    <w:rsid w:val="00D26F72"/>
    <w:rsid w:val="00D31E21"/>
    <w:rsid w:val="00D647AE"/>
    <w:rsid w:val="00DA158D"/>
    <w:rsid w:val="00DA7900"/>
    <w:rsid w:val="00DB76A7"/>
    <w:rsid w:val="00DB7A4E"/>
    <w:rsid w:val="00DC1C0F"/>
    <w:rsid w:val="00DC4A9C"/>
    <w:rsid w:val="00DF73F4"/>
    <w:rsid w:val="00E00A8D"/>
    <w:rsid w:val="00E10DF4"/>
    <w:rsid w:val="00E70289"/>
    <w:rsid w:val="00E75A1D"/>
    <w:rsid w:val="00E85FA2"/>
    <w:rsid w:val="00EB2045"/>
    <w:rsid w:val="00EB2428"/>
    <w:rsid w:val="00EB4FF8"/>
    <w:rsid w:val="00EC26EF"/>
    <w:rsid w:val="00EC46F3"/>
    <w:rsid w:val="00ED4877"/>
    <w:rsid w:val="00EE1648"/>
    <w:rsid w:val="00F12628"/>
    <w:rsid w:val="00F334A4"/>
    <w:rsid w:val="00F4466F"/>
    <w:rsid w:val="00F6045E"/>
    <w:rsid w:val="00F60EC3"/>
    <w:rsid w:val="00F6177D"/>
    <w:rsid w:val="00F711DA"/>
    <w:rsid w:val="00F81BD9"/>
    <w:rsid w:val="00F87856"/>
    <w:rsid w:val="00FA26B1"/>
    <w:rsid w:val="00FC08BF"/>
    <w:rsid w:val="00FD1ABD"/>
    <w:rsid w:val="00FE0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B5049"/>
  <w14:defaultImageDpi w14:val="32767"/>
  <w15:chartTrackingRefBased/>
  <w15:docId w15:val="{F8507D25-1201-CD49-81E2-F0E397360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767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1767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1767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1767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1767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1767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767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767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767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67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1767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1767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1767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1767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176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76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76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7676"/>
    <w:rPr>
      <w:rFonts w:eastAsiaTheme="majorEastAsia" w:cstheme="majorBidi"/>
      <w:color w:val="272727" w:themeColor="text1" w:themeTint="D8"/>
    </w:rPr>
  </w:style>
  <w:style w:type="paragraph" w:styleId="Title">
    <w:name w:val="Title"/>
    <w:basedOn w:val="Normal"/>
    <w:next w:val="Normal"/>
    <w:link w:val="TitleChar"/>
    <w:uiPriority w:val="10"/>
    <w:qFormat/>
    <w:rsid w:val="0061767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76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767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76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767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17676"/>
    <w:rPr>
      <w:i/>
      <w:iCs/>
      <w:color w:val="404040" w:themeColor="text1" w:themeTint="BF"/>
    </w:rPr>
  </w:style>
  <w:style w:type="paragraph" w:styleId="ListParagraph">
    <w:name w:val="List Paragraph"/>
    <w:basedOn w:val="Normal"/>
    <w:uiPriority w:val="34"/>
    <w:qFormat/>
    <w:rsid w:val="00617676"/>
    <w:pPr>
      <w:ind w:left="720"/>
      <w:contextualSpacing/>
    </w:pPr>
  </w:style>
  <w:style w:type="character" w:styleId="IntenseEmphasis">
    <w:name w:val="Intense Emphasis"/>
    <w:basedOn w:val="DefaultParagraphFont"/>
    <w:uiPriority w:val="21"/>
    <w:qFormat/>
    <w:rsid w:val="00617676"/>
    <w:rPr>
      <w:i/>
      <w:iCs/>
      <w:color w:val="2F5496" w:themeColor="accent1" w:themeShade="BF"/>
    </w:rPr>
  </w:style>
  <w:style w:type="paragraph" w:styleId="IntenseQuote">
    <w:name w:val="Intense Quote"/>
    <w:basedOn w:val="Normal"/>
    <w:next w:val="Normal"/>
    <w:link w:val="IntenseQuoteChar"/>
    <w:uiPriority w:val="30"/>
    <w:qFormat/>
    <w:rsid w:val="006176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17676"/>
    <w:rPr>
      <w:i/>
      <w:iCs/>
      <w:color w:val="2F5496" w:themeColor="accent1" w:themeShade="BF"/>
    </w:rPr>
  </w:style>
  <w:style w:type="character" w:styleId="IntenseReference">
    <w:name w:val="Intense Reference"/>
    <w:basedOn w:val="DefaultParagraphFont"/>
    <w:uiPriority w:val="32"/>
    <w:qFormat/>
    <w:rsid w:val="00617676"/>
    <w:rPr>
      <w:b/>
      <w:bCs/>
      <w:smallCaps/>
      <w:color w:val="2F5496" w:themeColor="accent1" w:themeShade="BF"/>
      <w:spacing w:val="5"/>
    </w:rPr>
  </w:style>
  <w:style w:type="paragraph" w:styleId="Header">
    <w:name w:val="header"/>
    <w:basedOn w:val="Normal"/>
    <w:link w:val="HeaderChar"/>
    <w:uiPriority w:val="99"/>
    <w:unhideWhenUsed/>
    <w:rsid w:val="00B9415E"/>
    <w:pPr>
      <w:tabs>
        <w:tab w:val="center" w:pos="4680"/>
        <w:tab w:val="right" w:pos="9360"/>
      </w:tabs>
    </w:pPr>
  </w:style>
  <w:style w:type="character" w:customStyle="1" w:styleId="HeaderChar">
    <w:name w:val="Header Char"/>
    <w:basedOn w:val="DefaultParagraphFont"/>
    <w:link w:val="Header"/>
    <w:uiPriority w:val="99"/>
    <w:rsid w:val="00B9415E"/>
  </w:style>
  <w:style w:type="paragraph" w:styleId="Footer">
    <w:name w:val="footer"/>
    <w:basedOn w:val="Normal"/>
    <w:link w:val="FooterChar"/>
    <w:uiPriority w:val="99"/>
    <w:unhideWhenUsed/>
    <w:rsid w:val="00B9415E"/>
    <w:pPr>
      <w:tabs>
        <w:tab w:val="center" w:pos="4680"/>
        <w:tab w:val="right" w:pos="9360"/>
      </w:tabs>
    </w:pPr>
  </w:style>
  <w:style w:type="character" w:customStyle="1" w:styleId="FooterChar">
    <w:name w:val="Footer Char"/>
    <w:basedOn w:val="DefaultParagraphFont"/>
    <w:link w:val="Footer"/>
    <w:uiPriority w:val="99"/>
    <w:rsid w:val="00B9415E"/>
  </w:style>
  <w:style w:type="paragraph" w:styleId="Revision">
    <w:name w:val="Revision"/>
    <w:hidden/>
    <w:uiPriority w:val="99"/>
    <w:semiHidden/>
    <w:rsid w:val="00F81BD9"/>
  </w:style>
  <w:style w:type="character" w:styleId="CommentReference">
    <w:name w:val="annotation reference"/>
    <w:basedOn w:val="DefaultParagraphFont"/>
    <w:uiPriority w:val="99"/>
    <w:semiHidden/>
    <w:unhideWhenUsed/>
    <w:rsid w:val="00FE0F98"/>
    <w:rPr>
      <w:sz w:val="16"/>
      <w:szCs w:val="16"/>
    </w:rPr>
  </w:style>
  <w:style w:type="paragraph" w:styleId="CommentText">
    <w:name w:val="annotation text"/>
    <w:basedOn w:val="Normal"/>
    <w:link w:val="CommentTextChar"/>
    <w:uiPriority w:val="99"/>
    <w:semiHidden/>
    <w:unhideWhenUsed/>
    <w:rsid w:val="00FE0F98"/>
    <w:rPr>
      <w:sz w:val="20"/>
      <w:szCs w:val="20"/>
    </w:rPr>
  </w:style>
  <w:style w:type="character" w:customStyle="1" w:styleId="CommentTextChar">
    <w:name w:val="Comment Text Char"/>
    <w:basedOn w:val="DefaultParagraphFont"/>
    <w:link w:val="CommentText"/>
    <w:uiPriority w:val="99"/>
    <w:semiHidden/>
    <w:rsid w:val="00FE0F98"/>
    <w:rPr>
      <w:sz w:val="20"/>
      <w:szCs w:val="20"/>
    </w:rPr>
  </w:style>
  <w:style w:type="paragraph" w:styleId="CommentSubject">
    <w:name w:val="annotation subject"/>
    <w:basedOn w:val="CommentText"/>
    <w:next w:val="CommentText"/>
    <w:link w:val="CommentSubjectChar"/>
    <w:uiPriority w:val="99"/>
    <w:semiHidden/>
    <w:unhideWhenUsed/>
    <w:rsid w:val="00FE0F98"/>
    <w:rPr>
      <w:b/>
      <w:bCs/>
    </w:rPr>
  </w:style>
  <w:style w:type="character" w:customStyle="1" w:styleId="CommentSubjectChar">
    <w:name w:val="Comment Subject Char"/>
    <w:basedOn w:val="CommentTextChar"/>
    <w:link w:val="CommentSubject"/>
    <w:uiPriority w:val="99"/>
    <w:semiHidden/>
    <w:rsid w:val="00FE0F98"/>
    <w:rPr>
      <w:b/>
      <w:bCs/>
      <w:sz w:val="20"/>
      <w:szCs w:val="20"/>
    </w:rPr>
  </w:style>
  <w:style w:type="paragraph" w:styleId="FootnoteText">
    <w:name w:val="footnote text"/>
    <w:basedOn w:val="Normal"/>
    <w:link w:val="FootnoteTextChar"/>
    <w:uiPriority w:val="99"/>
    <w:semiHidden/>
    <w:unhideWhenUsed/>
    <w:rsid w:val="00D647AE"/>
    <w:rPr>
      <w:sz w:val="20"/>
      <w:szCs w:val="20"/>
    </w:rPr>
  </w:style>
  <w:style w:type="character" w:customStyle="1" w:styleId="FootnoteTextChar">
    <w:name w:val="Footnote Text Char"/>
    <w:basedOn w:val="DefaultParagraphFont"/>
    <w:link w:val="FootnoteText"/>
    <w:uiPriority w:val="99"/>
    <w:semiHidden/>
    <w:rsid w:val="00D647AE"/>
    <w:rPr>
      <w:sz w:val="20"/>
      <w:szCs w:val="20"/>
    </w:rPr>
  </w:style>
  <w:style w:type="character" w:styleId="FootnoteReference">
    <w:name w:val="footnote reference"/>
    <w:basedOn w:val="DefaultParagraphFont"/>
    <w:uiPriority w:val="99"/>
    <w:semiHidden/>
    <w:unhideWhenUsed/>
    <w:rsid w:val="00D647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2E21D-D456-B44D-924A-621DAE6D5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3</Pages>
  <Words>1439</Words>
  <Characters>7961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Weston</dc:creator>
  <cp:keywords/>
  <dc:description/>
  <cp:lastModifiedBy>Rick Weston</cp:lastModifiedBy>
  <cp:revision>21</cp:revision>
  <dcterms:created xsi:type="dcterms:W3CDTF">2024-08-20T01:24:00Z</dcterms:created>
  <dcterms:modified xsi:type="dcterms:W3CDTF">2024-08-21T15:39:00Z</dcterms:modified>
  <cp:category/>
</cp:coreProperties>
</file>